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C927" w14:textId="6D910283" w:rsidR="00091411" w:rsidRPr="0094623B" w:rsidRDefault="00091411" w:rsidP="00091411">
      <w:pPr>
        <w:jc w:val="both"/>
        <w:rPr>
          <w:rFonts w:ascii="Georgia" w:hAnsi="Georgia" w:cs="Arial"/>
          <w:b/>
          <w:bCs/>
          <w:sz w:val="36"/>
          <w:szCs w:val="36"/>
        </w:rPr>
      </w:pPr>
      <w:bookmarkStart w:id="0" w:name="_Hlk121310752"/>
      <w:bookmarkEnd w:id="0"/>
      <w:r w:rsidRPr="0094623B">
        <w:rPr>
          <w:rFonts w:ascii="Georgia" w:hAnsi="Georgia" w:cs="Arial"/>
          <w:b/>
          <w:bCs/>
          <w:sz w:val="36"/>
          <w:szCs w:val="36"/>
        </w:rPr>
        <w:t xml:space="preserve">INCIDENCIA DE LAS TICS EN LA ANIMACIÓN DE LA </w:t>
      </w:r>
    </w:p>
    <w:p w14:paraId="4E23A0C1" w14:textId="614BCBF9" w:rsidR="00091411" w:rsidRPr="0094623B" w:rsidRDefault="00091411" w:rsidP="00091411">
      <w:pPr>
        <w:jc w:val="both"/>
        <w:rPr>
          <w:rFonts w:ascii="Georgia" w:hAnsi="Georgia" w:cs="Arial"/>
          <w:b/>
          <w:bCs/>
          <w:sz w:val="36"/>
          <w:szCs w:val="36"/>
        </w:rPr>
      </w:pPr>
      <w:r w:rsidRPr="0094623B">
        <w:rPr>
          <w:rFonts w:ascii="Georgia" w:hAnsi="Georgia" w:cs="Arial"/>
          <w:b/>
          <w:bCs/>
          <w:sz w:val="36"/>
          <w:szCs w:val="36"/>
        </w:rPr>
        <w:t>LECTURA EN ESTUDIANTES DE 4TO EB</w:t>
      </w:r>
    </w:p>
    <w:p w14:paraId="275BDCD9" w14:textId="53CBD7D3" w:rsidR="005C17DA" w:rsidRPr="0094623B" w:rsidRDefault="00204373" w:rsidP="003F39F7">
      <w:pPr>
        <w:spacing w:before="120" w:after="120"/>
        <w:rPr>
          <w:rFonts w:ascii="Georgia" w:hAnsi="Georgia"/>
          <w:b/>
          <w:bCs/>
        </w:rPr>
      </w:pPr>
      <w:r w:rsidRPr="0094623B">
        <w:rPr>
          <w:rFonts w:ascii="Georgia" w:hAnsi="Georgia" w:cs="Arial"/>
          <w:b/>
          <w:bCs/>
          <w:noProof/>
          <w:sz w:val="22"/>
          <w:szCs w:val="22"/>
          <w:lang w:val="es-VE"/>
        </w:rPr>
        <mc:AlternateContent>
          <mc:Choice Requires="wps">
            <w:drawing>
              <wp:anchor distT="0" distB="0" distL="114300" distR="114300" simplePos="0" relativeHeight="251638784" behindDoc="0" locked="0" layoutInCell="1" allowOverlap="1" wp14:anchorId="67488858" wp14:editId="79E8FDAF">
                <wp:simplePos x="0" y="0"/>
                <wp:positionH relativeFrom="column">
                  <wp:posOffset>-88900</wp:posOffset>
                </wp:positionH>
                <wp:positionV relativeFrom="paragraph">
                  <wp:posOffset>185665</wp:posOffset>
                </wp:positionV>
                <wp:extent cx="5722374" cy="0"/>
                <wp:effectExtent l="0" t="0" r="5715" b="12700"/>
                <wp:wrapNone/>
                <wp:docPr id="3" name="Conector recto 3"/>
                <wp:cNvGraphicFramePr/>
                <a:graphic xmlns:a="http://schemas.openxmlformats.org/drawingml/2006/main">
                  <a:graphicData uri="http://schemas.microsoft.com/office/word/2010/wordprocessingShape">
                    <wps:wsp>
                      <wps:cNvCnPr/>
                      <wps:spPr>
                        <a:xfrm>
                          <a:off x="0" y="0"/>
                          <a:ext cx="5722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5A11EA" id="Conector recto 3"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7pt,14.6pt" to="443.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nBuswEAALMDAAAOAAAAZHJzL2Uyb0RvYy54bWysU01v2zAMvRfYfxB0X+wk3ToYcXpIsV2G&#10;LVi7H6DKVCxUX6C02Pn3o5TEHdaiKIpeJFF6j+QjqdX1aA3bA0btXcvns5ozcNJ32u1a/vvu68cv&#10;nMUkXCeMd9DyA0R+vf5wsRpCAwvfe9MBMnLiYjOElvcphaaqouzBijjzARw9Ko9WJDJxV3UoBvJu&#10;TbWo68/V4LEL6CXESLc3x0e+Lv6VApl+KhUhMdNyyi2VFct6n9dqvRLNDkXotTylId6QhRXaUdDJ&#10;1Y1Igv1B/cSV1RJ99CrNpLeVV0pLKBpIzbz+T81tLwIULVScGKYyxfdzK3/st8h01/IlZ05YatGG&#10;GiWTR4Z5Y8tcoyHEhqAbt8WTFcMWs+BRoc07SWFjqethqiuMiUm6/HS1WCyvLjmT57fqkRgwpm/g&#10;LcuHlhvtsmTRiP33mCgYQc8QMnIix9DllA4GMti4X6BIBgWbF3YZINgYZHtBre8e5lkG+SrITFHa&#10;mIlUv0w6YTMNylC9ljihS0Tv0kS02nl8Lmoaz6mqI/6s+qg1y7733aE0opSDJqMoO01xHr1/7UJ/&#10;/GvrvwAAAP//AwBQSwMEFAAGAAgAAAAhAP8gU+3gAAAADgEAAA8AAABkcnMvZG93bnJldi54bWxM&#10;j01Pg0AQhu8m/ofNmHhrlxIjSFkaY/WkB4oePG7ZEUjZWcJuAf31jvGgl8l8vvM++W6xvZhw9J0j&#10;BZt1BAKpdqajRsHb69MqBeGDJqN7R6jgEz3sisuLXGfGzXTAqQqNYBHymVbQhjBkUvq6Rav92g1I&#10;PPtwo9WBy7GRZtQzi9texlF0K63uiD+0esCHFutTdbYKksfnqhzm/ctXKRNZlpML6eldqeurZb/l&#10;cL8FEXAJfxfww8D+oWBjR3cm40WvYLW5YaCgIL6LQfBCmiacHH8bssjlf4ziGwAA//8DAFBLAQIt&#10;ABQABgAIAAAAIQC2gziS/gAAAOEBAAATAAAAAAAAAAAAAAAAAAAAAABbQ29udGVudF9UeXBlc10u&#10;eG1sUEsBAi0AFAAGAAgAAAAhADj9If/WAAAAlAEAAAsAAAAAAAAAAAAAAAAALwEAAF9yZWxzLy5y&#10;ZWxzUEsBAi0AFAAGAAgAAAAhAHoacG6zAQAAswMAAA4AAAAAAAAAAAAAAAAALgIAAGRycy9lMm9E&#10;b2MueG1sUEsBAi0AFAAGAAgAAAAhAP8gU+3gAAAADgEAAA8AAAAAAAAAAAAAAAAADQQAAGRycy9k&#10;b3ducmV2LnhtbFBLBQYAAAAABAAEAPMAAAAaBQAAAAA=&#10;" strokecolor="black [3040]"/>
            </w:pict>
          </mc:Fallback>
        </mc:AlternateContent>
      </w:r>
    </w:p>
    <w:p w14:paraId="73D482D9" w14:textId="77777777" w:rsidR="00BE4E11" w:rsidRPr="0094623B" w:rsidRDefault="00BE4E11" w:rsidP="00456756">
      <w:pPr>
        <w:spacing w:before="120" w:after="120"/>
        <w:rPr>
          <w:rFonts w:ascii="Georgia" w:hAnsi="Georgia"/>
          <w:sz w:val="28"/>
          <w:szCs w:val="28"/>
        </w:rPr>
      </w:pPr>
    </w:p>
    <w:p w14:paraId="4E7393EE" w14:textId="2260A06B" w:rsidR="006C70C4" w:rsidRPr="00083F5B" w:rsidRDefault="00091411" w:rsidP="00392B43">
      <w:pPr>
        <w:tabs>
          <w:tab w:val="left" w:pos="7185"/>
        </w:tabs>
        <w:rPr>
          <w:rFonts w:ascii="Georgia" w:hAnsi="Georgia" w:cs="Arial"/>
          <w:sz w:val="28"/>
          <w:szCs w:val="28"/>
        </w:rPr>
      </w:pPr>
      <w:proofErr w:type="spellStart"/>
      <w:r w:rsidRPr="00083F5B">
        <w:rPr>
          <w:rFonts w:ascii="Georgia" w:hAnsi="Georgia" w:cs="Arial"/>
          <w:sz w:val="28"/>
          <w:szCs w:val="28"/>
        </w:rPr>
        <w:t>Leyla</w:t>
      </w:r>
      <w:proofErr w:type="spellEnd"/>
      <w:r w:rsidRPr="00083F5B">
        <w:rPr>
          <w:rFonts w:ascii="Georgia" w:hAnsi="Georgia" w:cs="Arial"/>
          <w:sz w:val="28"/>
          <w:szCs w:val="28"/>
        </w:rPr>
        <w:t xml:space="preserve"> Johanna Cantos </w:t>
      </w:r>
      <w:proofErr w:type="spellStart"/>
      <w:r w:rsidRPr="00083F5B">
        <w:rPr>
          <w:rFonts w:ascii="Georgia" w:hAnsi="Georgia" w:cs="Arial"/>
          <w:sz w:val="28"/>
          <w:szCs w:val="28"/>
        </w:rPr>
        <w:t>Over</w:t>
      </w:r>
      <w:proofErr w:type="spellEnd"/>
      <w:r w:rsidR="00392B43" w:rsidRPr="00083F5B">
        <w:rPr>
          <w:rFonts w:ascii="Georgia" w:hAnsi="Georgia" w:cs="Arial"/>
          <w:sz w:val="28"/>
          <w:szCs w:val="28"/>
        </w:rPr>
        <w:tab/>
      </w:r>
    </w:p>
    <w:p w14:paraId="2D3D3673" w14:textId="77777777" w:rsidR="003D2F4E" w:rsidRPr="00083F5B" w:rsidRDefault="00091411" w:rsidP="003D2F4E">
      <w:pPr>
        <w:jc w:val="both"/>
        <w:rPr>
          <w:rFonts w:ascii="Georgia" w:hAnsi="Georgia"/>
          <w:sz w:val="20"/>
          <w:szCs w:val="20"/>
          <w:lang w:eastAsia="es-ES_tradnl"/>
        </w:rPr>
      </w:pPr>
      <w:r w:rsidRPr="00083F5B">
        <w:rPr>
          <w:rFonts w:ascii="Georgia" w:hAnsi="Georgia"/>
          <w:sz w:val="20"/>
          <w:szCs w:val="20"/>
          <w:lang w:eastAsia="es-ES_tradnl"/>
        </w:rPr>
        <w:t xml:space="preserve">Docente – </w:t>
      </w:r>
      <w:proofErr w:type="gramStart"/>
      <w:r w:rsidRPr="00083F5B">
        <w:rPr>
          <w:rFonts w:ascii="Georgia" w:hAnsi="Georgia"/>
          <w:sz w:val="20"/>
          <w:szCs w:val="20"/>
          <w:lang w:eastAsia="es-ES_tradnl"/>
        </w:rPr>
        <w:t>Directora</w:t>
      </w:r>
      <w:proofErr w:type="gramEnd"/>
      <w:r w:rsidRPr="00083F5B">
        <w:rPr>
          <w:rFonts w:ascii="Georgia" w:hAnsi="Georgia"/>
          <w:sz w:val="20"/>
          <w:szCs w:val="20"/>
          <w:lang w:eastAsia="es-ES_tradnl"/>
        </w:rPr>
        <w:t xml:space="preserve"> encargada de la Escuela de Educación Básica Eugenio Espejo, Ecuador, </w:t>
      </w:r>
      <w:hyperlink r:id="rId8" w:history="1">
        <w:r w:rsidRPr="00083F5B">
          <w:rPr>
            <w:rStyle w:val="Hipervnculo"/>
            <w:rFonts w:ascii="Georgia" w:hAnsi="Georgia"/>
            <w:color w:val="auto"/>
            <w:sz w:val="20"/>
            <w:szCs w:val="20"/>
            <w:u w:val="none"/>
            <w:lang w:eastAsia="es-ES_tradnl"/>
          </w:rPr>
          <w:t>leyla.cantos@educación.gob.ec</w:t>
        </w:r>
      </w:hyperlink>
      <w:r w:rsidRPr="00083F5B">
        <w:rPr>
          <w:rFonts w:ascii="Georgia" w:hAnsi="Georgia"/>
          <w:sz w:val="20"/>
          <w:szCs w:val="20"/>
          <w:u w:val="single"/>
          <w:lang w:eastAsia="es-ES_tradnl"/>
        </w:rPr>
        <w:t xml:space="preserve"> </w:t>
      </w:r>
      <w:r w:rsidRPr="00083F5B">
        <w:rPr>
          <w:rFonts w:ascii="Georgia" w:hAnsi="Georgia"/>
          <w:sz w:val="20"/>
          <w:szCs w:val="20"/>
          <w:lang w:eastAsia="es-ES_tradnl"/>
        </w:rPr>
        <w:t xml:space="preserve"> </w:t>
      </w:r>
      <w:r w:rsidR="003D2F4E" w:rsidRPr="00083F5B">
        <w:rPr>
          <w:rFonts w:ascii="Georgia" w:hAnsi="Georgia"/>
          <w:sz w:val="20"/>
          <w:szCs w:val="20"/>
          <w:lang w:eastAsia="es-ES_tradnl"/>
        </w:rPr>
        <w:t xml:space="preserve">https://orcid.org/0000-0002-9439-8704 </w:t>
      </w:r>
    </w:p>
    <w:p w14:paraId="684F11E9" w14:textId="77777777" w:rsidR="003D2F4E" w:rsidRPr="00083F5B" w:rsidRDefault="003D2F4E" w:rsidP="003D2F4E">
      <w:pPr>
        <w:jc w:val="both"/>
        <w:rPr>
          <w:rFonts w:ascii="Georgia" w:hAnsi="Georgia"/>
          <w:sz w:val="20"/>
          <w:szCs w:val="20"/>
          <w:lang w:eastAsia="es-ES_tradnl"/>
        </w:rPr>
      </w:pPr>
    </w:p>
    <w:p w14:paraId="761444DF" w14:textId="205E9A38" w:rsidR="00091411" w:rsidRPr="00083F5B" w:rsidRDefault="00091411" w:rsidP="003D2F4E">
      <w:pPr>
        <w:jc w:val="both"/>
        <w:rPr>
          <w:rFonts w:ascii="Georgia" w:hAnsi="Georgia" w:cs="Arial"/>
          <w:sz w:val="28"/>
          <w:szCs w:val="28"/>
        </w:rPr>
      </w:pPr>
      <w:proofErr w:type="spellStart"/>
      <w:r w:rsidRPr="00083F5B">
        <w:rPr>
          <w:rFonts w:ascii="Georgia" w:hAnsi="Georgia" w:cs="Arial"/>
          <w:sz w:val="28"/>
          <w:szCs w:val="28"/>
        </w:rPr>
        <w:t>Miryan</w:t>
      </w:r>
      <w:proofErr w:type="spellEnd"/>
      <w:r w:rsidRPr="00083F5B">
        <w:rPr>
          <w:rFonts w:ascii="Georgia" w:hAnsi="Georgia" w:cs="Arial"/>
          <w:sz w:val="28"/>
          <w:szCs w:val="28"/>
        </w:rPr>
        <w:t xml:space="preserve"> Katherine Morocho Choca</w:t>
      </w:r>
    </w:p>
    <w:p w14:paraId="70572737" w14:textId="2C299436" w:rsidR="003D2F4E" w:rsidRPr="00083F5B" w:rsidRDefault="00091411" w:rsidP="003D2F4E">
      <w:pPr>
        <w:jc w:val="both"/>
        <w:rPr>
          <w:rFonts w:ascii="Georgia" w:hAnsi="Georgia"/>
          <w:sz w:val="20"/>
          <w:szCs w:val="20"/>
          <w:lang w:eastAsia="es-ES_tradnl"/>
        </w:rPr>
      </w:pPr>
      <w:r w:rsidRPr="00083F5B">
        <w:rPr>
          <w:rFonts w:ascii="Georgia" w:hAnsi="Georgia"/>
          <w:sz w:val="20"/>
          <w:szCs w:val="20"/>
          <w:lang w:eastAsia="es-ES_tradnl"/>
        </w:rPr>
        <w:t xml:space="preserve">Docente de la Escuela de Educación Básica Eugenio Espejo, Ecuador, </w:t>
      </w:r>
      <w:hyperlink r:id="rId9" w:history="1">
        <w:r w:rsidRPr="00083F5B">
          <w:rPr>
            <w:rStyle w:val="Hipervnculo"/>
            <w:rFonts w:ascii="Georgia" w:hAnsi="Georgia"/>
            <w:color w:val="auto"/>
            <w:sz w:val="20"/>
            <w:szCs w:val="20"/>
            <w:u w:val="none"/>
            <w:lang w:eastAsia="es-ES_tradnl"/>
          </w:rPr>
          <w:t>miryan.morocho@educacion.gob.ec</w:t>
        </w:r>
      </w:hyperlink>
      <w:r w:rsidR="003D2F4E" w:rsidRPr="00083F5B">
        <w:rPr>
          <w:rStyle w:val="Hipervnculo"/>
          <w:rFonts w:ascii="Georgia" w:hAnsi="Georgia"/>
          <w:color w:val="auto"/>
          <w:sz w:val="20"/>
          <w:szCs w:val="20"/>
          <w:u w:val="none"/>
          <w:lang w:eastAsia="es-ES_tradnl"/>
        </w:rPr>
        <w:t xml:space="preserve">  </w:t>
      </w:r>
      <w:r w:rsidRPr="00083F5B">
        <w:rPr>
          <w:rFonts w:ascii="Georgia" w:hAnsi="Georgia"/>
          <w:sz w:val="20"/>
          <w:szCs w:val="20"/>
          <w:lang w:eastAsia="es-ES_tradnl"/>
        </w:rPr>
        <w:t xml:space="preserve"> </w:t>
      </w:r>
      <w:hyperlink r:id="rId10" w:history="1">
        <w:r w:rsidR="003D2F4E" w:rsidRPr="00083F5B">
          <w:rPr>
            <w:rStyle w:val="Hipervnculo"/>
            <w:rFonts w:ascii="Georgia" w:hAnsi="Georgia"/>
            <w:color w:val="auto"/>
            <w:sz w:val="20"/>
            <w:szCs w:val="20"/>
            <w:u w:val="none"/>
            <w:lang w:eastAsia="es-ES_tradnl"/>
          </w:rPr>
          <w:t>https://orcid.org/0000-0002-5517-3959</w:t>
        </w:r>
      </w:hyperlink>
    </w:p>
    <w:p w14:paraId="381A19E5" w14:textId="77777777" w:rsidR="003D2F4E" w:rsidRPr="00083F5B" w:rsidRDefault="003D2F4E" w:rsidP="003D2F4E">
      <w:pPr>
        <w:jc w:val="both"/>
        <w:rPr>
          <w:rFonts w:ascii="Georgia" w:hAnsi="Georgia"/>
          <w:sz w:val="20"/>
          <w:szCs w:val="20"/>
          <w:lang w:eastAsia="es-ES_tradnl"/>
        </w:rPr>
      </w:pPr>
    </w:p>
    <w:p w14:paraId="70240B81" w14:textId="77777777" w:rsidR="003D2F4E" w:rsidRPr="00083F5B" w:rsidRDefault="003D2F4E" w:rsidP="003D2F4E">
      <w:pPr>
        <w:jc w:val="both"/>
        <w:rPr>
          <w:rFonts w:ascii="Georgia" w:hAnsi="Georgia"/>
          <w:sz w:val="20"/>
          <w:szCs w:val="20"/>
          <w:lang w:eastAsia="es-ES_tradnl"/>
        </w:rPr>
      </w:pPr>
    </w:p>
    <w:p w14:paraId="1BF26EBA" w14:textId="77777777" w:rsidR="003D2F4E" w:rsidRPr="0094623B" w:rsidRDefault="003D2F4E" w:rsidP="003D2F4E">
      <w:pPr>
        <w:jc w:val="both"/>
        <w:rPr>
          <w:rFonts w:ascii="Georgia" w:hAnsi="Georgia"/>
          <w:sz w:val="20"/>
          <w:szCs w:val="20"/>
          <w:lang w:eastAsia="es-ES_tradnl"/>
        </w:rPr>
      </w:pPr>
    </w:p>
    <w:p w14:paraId="18891403" w14:textId="3E8E9329" w:rsidR="0009607A" w:rsidRPr="0094623B" w:rsidRDefault="00BE4E11" w:rsidP="003D2F4E">
      <w:pPr>
        <w:jc w:val="both"/>
        <w:rPr>
          <w:rFonts w:ascii="Georgia" w:hAnsi="Georgia" w:cs="Arial"/>
          <w:b/>
        </w:rPr>
      </w:pPr>
      <w:r w:rsidRPr="0094623B">
        <w:rPr>
          <w:rFonts w:ascii="Georgia" w:hAnsi="Georgia" w:cs="Arial"/>
          <w:b/>
        </w:rPr>
        <w:t>Resumen</w:t>
      </w:r>
    </w:p>
    <w:p w14:paraId="266065C0" w14:textId="166C0407" w:rsidR="00BE4E11" w:rsidRPr="0094623B" w:rsidRDefault="00BE4E11" w:rsidP="00456756">
      <w:pPr>
        <w:spacing w:before="120" w:after="120"/>
        <w:ind w:right="2264"/>
        <w:jc w:val="both"/>
        <w:rPr>
          <w:rFonts w:ascii="Georgia" w:eastAsia="Calibri" w:hAnsi="Georgia" w:cs="Arial"/>
          <w:bCs/>
        </w:rPr>
      </w:pPr>
    </w:p>
    <w:p w14:paraId="60B5B725" w14:textId="3D3E420F" w:rsidR="00AB3EBC" w:rsidRPr="0094623B" w:rsidRDefault="003F39F7" w:rsidP="003F39F7">
      <w:pPr>
        <w:autoSpaceDE w:val="0"/>
        <w:autoSpaceDN w:val="0"/>
        <w:adjustRightInd w:val="0"/>
        <w:spacing w:before="120" w:after="120"/>
        <w:ind w:right="2264"/>
        <w:jc w:val="both"/>
        <w:rPr>
          <w:rFonts w:ascii="Georgia" w:hAnsi="Georgia" w:cs="Arial"/>
        </w:rPr>
      </w:pPr>
      <w:r w:rsidRPr="0094623B">
        <w:rPr>
          <w:rFonts w:ascii="Georgia" w:hAnsi="Georgia" w:cs="Arial"/>
          <w:noProof/>
        </w:rPr>
        <mc:AlternateContent>
          <mc:Choice Requires="wps">
            <w:drawing>
              <wp:anchor distT="0" distB="0" distL="114300" distR="114300" simplePos="0" relativeHeight="251643904" behindDoc="0" locked="0" layoutInCell="1" allowOverlap="1" wp14:anchorId="710F6E41" wp14:editId="49A6DA47">
                <wp:simplePos x="0" y="0"/>
                <wp:positionH relativeFrom="column">
                  <wp:posOffset>4475801</wp:posOffset>
                </wp:positionH>
                <wp:positionV relativeFrom="paragraph">
                  <wp:posOffset>257030</wp:posOffset>
                </wp:positionV>
                <wp:extent cx="2091846" cy="2577947"/>
                <wp:effectExtent l="0" t="0" r="3810" b="635"/>
                <wp:wrapNone/>
                <wp:docPr id="4" name="Cuadro de texto 4"/>
                <wp:cNvGraphicFramePr/>
                <a:graphic xmlns:a="http://schemas.openxmlformats.org/drawingml/2006/main">
                  <a:graphicData uri="http://schemas.microsoft.com/office/word/2010/wordprocessingShape">
                    <wps:wsp>
                      <wps:cNvSpPr txBox="1"/>
                      <wps:spPr>
                        <a:xfrm>
                          <a:off x="0" y="0"/>
                          <a:ext cx="2091846" cy="2577947"/>
                        </a:xfrm>
                        <a:prstGeom prst="rect">
                          <a:avLst/>
                        </a:prstGeom>
                        <a:solidFill>
                          <a:schemeClr val="lt1"/>
                        </a:solidFill>
                        <a:ln w="6350">
                          <a:noFill/>
                        </a:ln>
                      </wps:spPr>
                      <wps:txbx>
                        <w:txbxContent>
                          <w:p w14:paraId="48A78161" w14:textId="77777777" w:rsidR="00BE4E11" w:rsidRPr="00DC0481" w:rsidRDefault="00456756" w:rsidP="00456756">
                            <w:pPr>
                              <w:spacing w:before="120" w:after="120"/>
                              <w:ind w:right="327"/>
                              <w:rPr>
                                <w:rFonts w:ascii="Georgia" w:eastAsia="Calibri" w:hAnsi="Georgia" w:cs="Arial"/>
                                <w:sz w:val="20"/>
                                <w:szCs w:val="20"/>
                              </w:rPr>
                            </w:pPr>
                            <w:r w:rsidRPr="00DC0481">
                              <w:rPr>
                                <w:rFonts w:ascii="Georgia" w:eastAsia="Calibri" w:hAnsi="Georgia" w:cs="Arial"/>
                                <w:b/>
                                <w:sz w:val="20"/>
                                <w:szCs w:val="20"/>
                              </w:rPr>
                              <w:t>Palabras clave:</w:t>
                            </w:r>
                            <w:r w:rsidRPr="00DC0481">
                              <w:rPr>
                                <w:rFonts w:ascii="Georgia" w:eastAsia="Calibri" w:hAnsi="Georgia" w:cs="Arial"/>
                                <w:sz w:val="20"/>
                                <w:szCs w:val="20"/>
                              </w:rPr>
                              <w:t xml:space="preserve"> </w:t>
                            </w:r>
                          </w:p>
                          <w:p w14:paraId="7A958400" w14:textId="407ECAE7" w:rsidR="00BE4E11" w:rsidRPr="00DC0481" w:rsidRDefault="00BE4E11" w:rsidP="00456756">
                            <w:pPr>
                              <w:spacing w:before="120" w:after="120"/>
                              <w:ind w:right="327"/>
                              <w:rPr>
                                <w:rFonts w:ascii="Georgia" w:eastAsia="Calibri" w:hAnsi="Georgia" w:cs="Arial"/>
                                <w:sz w:val="20"/>
                                <w:szCs w:val="20"/>
                              </w:rPr>
                            </w:pPr>
                            <w:r w:rsidRPr="00DC0481">
                              <w:rPr>
                                <w:rFonts w:ascii="Georgia" w:eastAsia="Calibri" w:hAnsi="Georgia" w:cs="Arial"/>
                                <w:sz w:val="20"/>
                                <w:szCs w:val="20"/>
                              </w:rPr>
                              <w:t>____________</w:t>
                            </w:r>
                          </w:p>
                          <w:p w14:paraId="12A7C1C6" w14:textId="623A83B7" w:rsidR="00456756" w:rsidRPr="00456756" w:rsidRDefault="00603C33" w:rsidP="00603C33">
                            <w:pPr>
                              <w:ind w:right="327"/>
                              <w:rPr>
                                <w:sz w:val="22"/>
                                <w:szCs w:val="22"/>
                              </w:rPr>
                            </w:pPr>
                            <w:r w:rsidRPr="00603C33">
                              <w:rPr>
                                <w:rFonts w:ascii="Georgia" w:hAnsi="Georgia"/>
                                <w:sz w:val="20"/>
                                <w:szCs w:val="20"/>
                              </w:rPr>
                              <w:t>Estrategias, Lectura, Docentes, Animación</w:t>
                            </w:r>
                            <w:r>
                              <w:rPr>
                                <w:rFonts w:ascii="Georgia" w:hAnsi="Georg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F6E41" id="_x0000_t202" coordsize="21600,21600" o:spt="202" path="m,l,21600r21600,l21600,xe">
                <v:stroke joinstyle="miter"/>
                <v:path gradientshapeok="t" o:connecttype="rect"/>
              </v:shapetype>
              <v:shape id="Cuadro de texto 4" o:spid="_x0000_s1026" type="#_x0000_t202" style="position:absolute;left:0;text-align:left;margin-left:352.45pt;margin-top:20.25pt;width:164.7pt;height:20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8LwIAAFUEAAAOAAAAZHJzL2Uyb0RvYy54bWysVE1v2zAMvQ/YfxB0X+xk+WiMOEWWIsOA&#10;oi2QDj0rshQbkEVNUmJnv36U7Hys22nYRSZF6ol8fPLivq0VOQrrKtA5HQ5SSoTmUFR6n9Pvr5tP&#10;d5Q4z3TBFGiR05Nw9H758cOiMZkYQQmqEJYgiHZZY3Jaem+yJHG8FDVzAzBCY1CCrZlH1+6TwrIG&#10;0WuVjNJ0mjRgC2OBC+dw96EL0mXEl1Jw/yylE56onGJtPq42rruwJssFy/aWmbLifRnsH6qoWaXx&#10;0gvUA/OMHGz1B1RdcQsOpB9wqBOQsuIi9oDdDNN33WxLZkTsBclx5kKT+3+w/Om4NS+W+PYLtDjA&#10;QEhjXOZwM/TTSluHL1ZKMI4Uni60idYTjpujdD68G08p4RgbTWaz+XgWcJLrcWOd/yqgJsHIqcW5&#10;RLrY8dH5LvWcEm5zoKpiUykVnaAFsVaWHBlOUflYJIL/lqU0aXI6/TxJI7CGcLxDVhpruTYVLN/u&#10;2r7THRQnJMBCpw1n+KbCIh+Z8y/MohiwZxS4f8ZFKsBLoLcoKcH+/Nt+yMcZYZSSBsWVU/fjwKyg&#10;RH3TOL35cDwOaozOeDIboWNvI7vbiD7Ua8DOh/iUDI9myPfqbEoL9Ru+g1W4FUNMc7w7p/5srn0n&#10;eXxHXKxWMQn1Z5h/1FvDA3RgOozgtX1j1vRz8jjiJzjLkGXvxtXlhpMaVgcPsoqzDAR3rPa8o3aj&#10;Gvp3Fh7HrR+zrn+D5S8AAAD//wMAUEsDBBQABgAIAAAAIQCxy8TB4gAAAAsBAAAPAAAAZHJzL2Rv&#10;d25yZXYueG1sTI/LTsMwEEX3SPyDNUhsUGtDkj5CnAohHhI7mkLVnRsPSUQ8jmI3CX+Pu4LlzBzd&#10;OTfbTKZlA/ausSThdi6AIZVWN1RJ2BXPsxUw5xVp1VpCCT/oYJNfXmQq1Xakdxy2vmIhhFyqJNTe&#10;dynnrqzRKDe3HVK4fdneKB/GvuK6V2MINy2/E2LBjWoofKhVh481lt/bk5FwuKn2b256+RijJOqe&#10;Xodi+akLKa+vpod7YB4n/wfDWT+oQx6cjvZE2rFWwlLE64BKiEUC7AyIKI6AHcMmXiTA84z/75D/&#10;AgAA//8DAFBLAQItABQABgAIAAAAIQC2gziS/gAAAOEBAAATAAAAAAAAAAAAAAAAAAAAAABbQ29u&#10;dGVudF9UeXBlc10ueG1sUEsBAi0AFAAGAAgAAAAhADj9If/WAAAAlAEAAAsAAAAAAAAAAAAAAAAA&#10;LwEAAF9yZWxzLy5yZWxzUEsBAi0AFAAGAAgAAAAhADP4WLwvAgAAVQQAAA4AAAAAAAAAAAAAAAAA&#10;LgIAAGRycy9lMm9Eb2MueG1sUEsBAi0AFAAGAAgAAAAhALHLxMHiAAAACwEAAA8AAAAAAAAAAAAA&#10;AAAAiQQAAGRycy9kb3ducmV2LnhtbFBLBQYAAAAABAAEAPMAAACYBQAAAAA=&#10;" fillcolor="white [3201]" stroked="f" strokeweight=".5pt">
                <v:textbox>
                  <w:txbxContent>
                    <w:p w14:paraId="48A78161" w14:textId="77777777" w:rsidR="00BE4E11" w:rsidRPr="00DC0481" w:rsidRDefault="00456756" w:rsidP="00456756">
                      <w:pPr>
                        <w:spacing w:before="120" w:after="120"/>
                        <w:ind w:right="327"/>
                        <w:rPr>
                          <w:rFonts w:ascii="Georgia" w:eastAsia="Calibri" w:hAnsi="Georgia" w:cs="Arial"/>
                          <w:sz w:val="20"/>
                          <w:szCs w:val="20"/>
                        </w:rPr>
                      </w:pPr>
                      <w:r w:rsidRPr="00DC0481">
                        <w:rPr>
                          <w:rFonts w:ascii="Georgia" w:eastAsia="Calibri" w:hAnsi="Georgia" w:cs="Arial"/>
                          <w:b/>
                          <w:sz w:val="20"/>
                          <w:szCs w:val="20"/>
                        </w:rPr>
                        <w:t>Palabras clave:</w:t>
                      </w:r>
                      <w:r w:rsidRPr="00DC0481">
                        <w:rPr>
                          <w:rFonts w:ascii="Georgia" w:eastAsia="Calibri" w:hAnsi="Georgia" w:cs="Arial"/>
                          <w:sz w:val="20"/>
                          <w:szCs w:val="20"/>
                        </w:rPr>
                        <w:t xml:space="preserve"> </w:t>
                      </w:r>
                    </w:p>
                    <w:p w14:paraId="7A958400" w14:textId="407ECAE7" w:rsidR="00BE4E11" w:rsidRPr="00DC0481" w:rsidRDefault="00BE4E11" w:rsidP="00456756">
                      <w:pPr>
                        <w:spacing w:before="120" w:after="120"/>
                        <w:ind w:right="327"/>
                        <w:rPr>
                          <w:rFonts w:ascii="Georgia" w:eastAsia="Calibri" w:hAnsi="Georgia" w:cs="Arial"/>
                          <w:sz w:val="20"/>
                          <w:szCs w:val="20"/>
                        </w:rPr>
                      </w:pPr>
                      <w:r w:rsidRPr="00DC0481">
                        <w:rPr>
                          <w:rFonts w:ascii="Georgia" w:eastAsia="Calibri" w:hAnsi="Georgia" w:cs="Arial"/>
                          <w:sz w:val="20"/>
                          <w:szCs w:val="20"/>
                        </w:rPr>
                        <w:t>____________</w:t>
                      </w:r>
                    </w:p>
                    <w:p w14:paraId="12A7C1C6" w14:textId="623A83B7" w:rsidR="00456756" w:rsidRPr="00456756" w:rsidRDefault="00603C33" w:rsidP="00603C33">
                      <w:pPr>
                        <w:ind w:right="327"/>
                        <w:rPr>
                          <w:sz w:val="22"/>
                          <w:szCs w:val="22"/>
                        </w:rPr>
                      </w:pPr>
                      <w:r w:rsidRPr="00603C33">
                        <w:rPr>
                          <w:rFonts w:ascii="Georgia" w:hAnsi="Georgia"/>
                          <w:sz w:val="20"/>
                          <w:szCs w:val="20"/>
                        </w:rPr>
                        <w:t>Estrategias, Lectura, Docentes, Animación</w:t>
                      </w:r>
                      <w:r>
                        <w:rPr>
                          <w:rFonts w:ascii="Georgia" w:hAnsi="Georgia"/>
                          <w:sz w:val="20"/>
                          <w:szCs w:val="20"/>
                        </w:rPr>
                        <w:t>.</w:t>
                      </w:r>
                    </w:p>
                  </w:txbxContent>
                </v:textbox>
              </v:shape>
            </w:pict>
          </mc:Fallback>
        </mc:AlternateContent>
      </w:r>
      <w:r w:rsidR="00091411" w:rsidRPr="0094623B">
        <w:rPr>
          <w:rFonts w:ascii="Georgia" w:hAnsi="Georgia"/>
        </w:rPr>
        <w:t xml:space="preserve"> </w:t>
      </w:r>
      <w:r w:rsidR="00091411" w:rsidRPr="0094623B">
        <w:rPr>
          <w:rFonts w:ascii="Georgia" w:hAnsi="Georgia" w:cs="Arial"/>
        </w:rPr>
        <w:t xml:space="preserve">El ser humano y todo lo relacionado con su desarrollo intelectual, físico, moral, personal y actitudinal ha evolucionado a lo largo del tiempo. En el mismo sentido, las instituciones educativas no han olvidado este avance ya que buscan fortalecer cada día su PEI para brindar una mejor educación a sus estudiantes. Es por ello </w:t>
      </w:r>
      <w:proofErr w:type="gramStart"/>
      <w:r w:rsidR="00091411" w:rsidRPr="0094623B">
        <w:rPr>
          <w:rFonts w:ascii="Georgia" w:hAnsi="Georgia" w:cs="Arial"/>
        </w:rPr>
        <w:t>que</w:t>
      </w:r>
      <w:proofErr w:type="gramEnd"/>
      <w:r w:rsidR="00091411" w:rsidRPr="0094623B">
        <w:rPr>
          <w:rFonts w:ascii="Georgia" w:hAnsi="Georgia" w:cs="Arial"/>
        </w:rPr>
        <w:t xml:space="preserve"> en este proyecto se han aplicado herramientas tecnológicas, entre ellas Web </w:t>
      </w:r>
      <w:proofErr w:type="spellStart"/>
      <w:r w:rsidR="00091411" w:rsidRPr="0094623B">
        <w:rPr>
          <w:rFonts w:ascii="Georgia" w:hAnsi="Georgia" w:cs="Arial"/>
        </w:rPr>
        <w:t>wix</w:t>
      </w:r>
      <w:proofErr w:type="spellEnd"/>
      <w:r w:rsidR="00091411" w:rsidRPr="0094623B">
        <w:rPr>
          <w:rFonts w:ascii="Georgia" w:hAnsi="Georgia" w:cs="Arial"/>
        </w:rPr>
        <w:t>, cuyo principal objetivo es aplicar estrategias de lectura a textos que articulen conocimientos importantes, utilizando las TIC como herramienta didáctica para los estudiantes de 4° grado de la Unidad Educativa Daule, despertando su mente curiosa y la capacidad para identificar, interpretar y utilizar las habilidades de lectura. Así mismo, se utilizó el tipo de investigación bibliográfica y métodos cuantitativos a nivel descriptivo, con encuestas a docentes. Lo cual evidencio de por qué el uso de la red Wix para desarrollar los resultados de las actividades de enseñanza, especialmente en habilidades de lectura, guía a los estudiantes a convertirse en miembros de un mundo virtual, y competente.</w:t>
      </w:r>
    </w:p>
    <w:p w14:paraId="1DC670F3" w14:textId="23C2DCCB" w:rsidR="003F39F7" w:rsidRPr="0094623B" w:rsidRDefault="003F39F7" w:rsidP="003F39F7">
      <w:pPr>
        <w:autoSpaceDE w:val="0"/>
        <w:autoSpaceDN w:val="0"/>
        <w:adjustRightInd w:val="0"/>
        <w:spacing w:before="120" w:after="120"/>
        <w:ind w:right="2264"/>
        <w:jc w:val="both"/>
        <w:rPr>
          <w:rFonts w:ascii="Georgia" w:hAnsi="Georgia" w:cs="Arial"/>
        </w:rPr>
      </w:pPr>
    </w:p>
    <w:p w14:paraId="059D28F9" w14:textId="77777777" w:rsidR="006D2F4F" w:rsidRPr="0094623B" w:rsidRDefault="006D2F4F" w:rsidP="003F39F7">
      <w:pPr>
        <w:autoSpaceDE w:val="0"/>
        <w:autoSpaceDN w:val="0"/>
        <w:adjustRightInd w:val="0"/>
        <w:spacing w:before="120" w:after="120"/>
        <w:ind w:right="2264"/>
        <w:jc w:val="both"/>
        <w:rPr>
          <w:rFonts w:ascii="Georgia" w:hAnsi="Georgia" w:cs="Arial"/>
        </w:rPr>
      </w:pPr>
    </w:p>
    <w:p w14:paraId="4CBE88FD" w14:textId="39F27E23" w:rsidR="00204373" w:rsidRPr="0094623B" w:rsidRDefault="00B34EC1" w:rsidP="00B34EC1">
      <w:pPr>
        <w:spacing w:before="120" w:after="120"/>
        <w:rPr>
          <w:rFonts w:ascii="Georgia" w:eastAsia="Calibri" w:hAnsi="Georgia" w:cs="Arial"/>
          <w:lang w:val="en-US"/>
        </w:rPr>
      </w:pPr>
      <w:r w:rsidRPr="0094623B">
        <w:rPr>
          <w:rFonts w:ascii="Georgia" w:eastAsiaTheme="minorHAnsi" w:hAnsi="Georgia" w:cs="Arial"/>
          <w:b/>
          <w:lang w:val="en-US" w:eastAsia="es-ES_tradnl"/>
        </w:rPr>
        <w:lastRenderedPageBreak/>
        <w:t>Incidence of tics in the animation of reading in students of 4th EB</w:t>
      </w:r>
    </w:p>
    <w:p w14:paraId="3B04B560" w14:textId="77777777" w:rsidR="00B34EC1" w:rsidRPr="0094623B" w:rsidRDefault="00B34EC1" w:rsidP="00BE4E11">
      <w:pPr>
        <w:spacing w:before="120" w:after="120"/>
        <w:ind w:left="2268" w:right="-4"/>
        <w:jc w:val="both"/>
        <w:rPr>
          <w:rFonts w:ascii="Georgia" w:hAnsi="Georgia" w:cs="Arial"/>
          <w:b/>
          <w:lang w:val="en-US"/>
        </w:rPr>
      </w:pPr>
    </w:p>
    <w:p w14:paraId="6C0B4235" w14:textId="59CD7B6C" w:rsidR="00443E09" w:rsidRPr="0094623B" w:rsidRDefault="00BE4E11" w:rsidP="00BE4E11">
      <w:pPr>
        <w:spacing w:before="120" w:after="120"/>
        <w:ind w:left="2268" w:right="-4"/>
        <w:jc w:val="both"/>
        <w:rPr>
          <w:rFonts w:ascii="Georgia" w:hAnsi="Georgia" w:cs="Arial"/>
          <w:b/>
          <w:lang w:val="en-US"/>
        </w:rPr>
      </w:pPr>
      <w:r w:rsidRPr="0094623B">
        <w:rPr>
          <w:rFonts w:ascii="Georgia" w:hAnsi="Georgia" w:cs="Arial"/>
          <w:b/>
          <w:lang w:val="en-US"/>
        </w:rPr>
        <w:t>Abstract</w:t>
      </w:r>
    </w:p>
    <w:p w14:paraId="18E31CD5" w14:textId="2EDD85B6" w:rsidR="00FF6D87" w:rsidRPr="0094623B" w:rsidRDefault="003F39F7" w:rsidP="00B34EC1">
      <w:pPr>
        <w:autoSpaceDE w:val="0"/>
        <w:autoSpaceDN w:val="0"/>
        <w:adjustRightInd w:val="0"/>
        <w:spacing w:before="120" w:after="120"/>
        <w:ind w:left="2268" w:right="-4"/>
        <w:jc w:val="both"/>
        <w:rPr>
          <w:rFonts w:ascii="Georgia" w:hAnsi="Georgia" w:cs="Arial"/>
          <w:lang w:val="en-US"/>
        </w:rPr>
      </w:pPr>
      <w:r w:rsidRPr="0094623B">
        <w:rPr>
          <w:rFonts w:ascii="Georgia" w:hAnsi="Georgia" w:cs="Arial"/>
          <w:noProof/>
        </w:rPr>
        <mc:AlternateContent>
          <mc:Choice Requires="wps">
            <w:drawing>
              <wp:anchor distT="0" distB="0" distL="114300" distR="114300" simplePos="0" relativeHeight="251650048" behindDoc="0" locked="0" layoutInCell="1" allowOverlap="1" wp14:anchorId="5DF1785A" wp14:editId="45636F70">
                <wp:simplePos x="0" y="0"/>
                <wp:positionH relativeFrom="column">
                  <wp:posOffset>-746194</wp:posOffset>
                </wp:positionH>
                <wp:positionV relativeFrom="paragraph">
                  <wp:posOffset>214355</wp:posOffset>
                </wp:positionV>
                <wp:extent cx="1839817" cy="1555200"/>
                <wp:effectExtent l="0" t="0" r="1905" b="0"/>
                <wp:wrapNone/>
                <wp:docPr id="14" name="Cuadro de texto 14"/>
                <wp:cNvGraphicFramePr/>
                <a:graphic xmlns:a="http://schemas.openxmlformats.org/drawingml/2006/main">
                  <a:graphicData uri="http://schemas.microsoft.com/office/word/2010/wordprocessingShape">
                    <wps:wsp>
                      <wps:cNvSpPr txBox="1"/>
                      <wps:spPr>
                        <a:xfrm>
                          <a:off x="0" y="0"/>
                          <a:ext cx="1839817" cy="1555200"/>
                        </a:xfrm>
                        <a:prstGeom prst="rect">
                          <a:avLst/>
                        </a:prstGeom>
                        <a:solidFill>
                          <a:schemeClr val="lt1"/>
                        </a:solidFill>
                        <a:ln w="6350">
                          <a:noFill/>
                        </a:ln>
                      </wps:spPr>
                      <wps:txbx>
                        <w:txbxContent>
                          <w:p w14:paraId="4F7845B7" w14:textId="77777777" w:rsidR="00BE4E11" w:rsidRPr="00DC0481" w:rsidRDefault="00BE4E11" w:rsidP="00BE4E11">
                            <w:pPr>
                              <w:pStyle w:val="HTMLconformatoprevio"/>
                              <w:spacing w:before="120" w:after="120"/>
                              <w:ind w:right="-4"/>
                              <w:jc w:val="both"/>
                              <w:rPr>
                                <w:rFonts w:ascii="Georgia" w:eastAsia="Calibri" w:hAnsi="Georgia" w:cs="Arial"/>
                                <w:b/>
                                <w:lang w:val="en-US"/>
                              </w:rPr>
                            </w:pPr>
                            <w:r w:rsidRPr="00DC0481">
                              <w:rPr>
                                <w:rFonts w:ascii="Georgia" w:eastAsia="Calibri" w:hAnsi="Georgia" w:cs="Arial"/>
                                <w:b/>
                                <w:lang w:val="en-US"/>
                              </w:rPr>
                              <w:t>Keywords</w:t>
                            </w:r>
                          </w:p>
                          <w:p w14:paraId="1F5DEC60" w14:textId="59D3032A" w:rsidR="00BE4E11" w:rsidRPr="00DC0481" w:rsidRDefault="00BE4E11" w:rsidP="00BE4E11">
                            <w:pPr>
                              <w:pStyle w:val="HTMLconformatoprevio"/>
                              <w:spacing w:before="120" w:after="120"/>
                              <w:ind w:right="-4"/>
                              <w:jc w:val="both"/>
                              <w:rPr>
                                <w:rFonts w:ascii="Georgia" w:eastAsia="Calibri" w:hAnsi="Georgia" w:cs="Arial"/>
                                <w:b/>
                                <w:lang w:val="en-US"/>
                              </w:rPr>
                            </w:pPr>
                            <w:r w:rsidRPr="00DC0481">
                              <w:rPr>
                                <w:rFonts w:ascii="Georgia" w:eastAsia="Calibri" w:hAnsi="Georgia" w:cs="Arial"/>
                                <w:b/>
                                <w:lang w:val="en-US"/>
                              </w:rPr>
                              <w:t>________________</w:t>
                            </w:r>
                          </w:p>
                          <w:p w14:paraId="52F254ED" w14:textId="758759CB" w:rsidR="00BE4E11" w:rsidRPr="00DC0481" w:rsidRDefault="00B34EC1" w:rsidP="004F6A11">
                            <w:pPr>
                              <w:pStyle w:val="HTMLconformatoprevio"/>
                              <w:spacing w:before="120" w:after="120"/>
                              <w:ind w:right="-4"/>
                              <w:rPr>
                                <w:rFonts w:ascii="Georgia" w:hAnsi="Georgia"/>
                                <w:lang w:val="en-US"/>
                              </w:rPr>
                            </w:pPr>
                            <w:r w:rsidRPr="00B34EC1">
                              <w:rPr>
                                <w:rFonts w:ascii="Georgia" w:hAnsi="Georgia"/>
                                <w:lang w:val="en"/>
                              </w:rPr>
                              <w:t>Strategies, Reading, Teachers, Animation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1785A" id="Cuadro de texto 14" o:spid="_x0000_s1027" type="#_x0000_t202" style="position:absolute;left:0;text-align:left;margin-left:-58.75pt;margin-top:16.9pt;width:144.85pt;height:12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aLwIAAFwEAAAOAAAAZHJzL2Uyb0RvYy54bWysVE1vGjEQvVfqf7B8L8sSSMiKJaJEVJVQ&#10;EolUORuvDZa8Htc27NJf37GXr6Q9Vb2Y8c74eea9ZyYPba3JXjivwJQ07/UpEYZDpcympD9eF1/G&#10;lPjATMU0GFHSg/D0Yfr506SxhRjAFnQlHEEQ44vGlnQbgi2yzPOtqJnvgRUGkxJczQJu3SarHGsQ&#10;vdbZoN+/zRpwlXXAhff49bFL0mnCl1Lw8CylF4HokmJvIa0ureu4ZtMJKzaO2a3ixzbYP3RRM2Xw&#10;0jPUIwuM7Jz6A6pW3IEHGXoc6gykVFykGXCavP9hmtWWWZFmQXK8PdPk/x8sf9qv7Isjof0KLQoY&#10;CWmsLzx+jPO00tXxFzslmEcKD2faRBsIj4fGN/fj/I4Sjrl8NBqhMBEnuxy3zodvAmoSg5I61CXR&#10;xfZLH7rSU0m8zYNW1UJpnTbRC2KuHdkzVFGH1CSCv6vShjQlvb0Z9ROwgXi8Q9YGe7kMFaPQrlui&#10;qquB11AdkAcHnUW85QuFvS6ZDy/MoSdwdPR5eMZFasC74BhRsgX362/fYz1KhVlKGvRYSf3PHXOC&#10;Ev3doIj3+XAYTZk2w9HdADfuOrO+zphdPQckIMcXZXkKY33Qp1A6qN/wOczirZhihuPdJQ2ncB46&#10;5+Nz4mI2S0VoQ8vC0qwsj9CR8KjEa/vGnD3KFVDpJzi5kRUfVOtq40kDs10AqZKkkeeO1SP9aOFk&#10;iuNzi2/kep+qLn8K098AAAD//wMAUEsDBBQABgAIAAAAIQC1jNMU4gAAAAsBAAAPAAAAZHJzL2Rv&#10;d25yZXYueG1sTI/LTsMwEEX3SPyDNUhsUOs8VFKFTCqEeEjsaHiInRsPSUQ8jmI3CX+Pu4LlaI7u&#10;PbfYLaYXE42us4wQryMQxLXVHTcIr9XDagvCecVa9ZYJ4Ycc7Mrzs0Ll2s78QtPeNyKEsMsVQuv9&#10;kEvp6paMcms7EIfflx2N8uEcG6lHNYdw08skiq6lUR2HhlYNdNdS/b0/GoTPq+bj2S2Pb3O6SYf7&#10;p6nK3nWFeHmx3N6A8LT4PxhO+kEdyuB0sEfWTvQIqzjONoFFSNOw4URkSQLigJBk2wxkWcj/G8pf&#10;AAAA//8DAFBLAQItABQABgAIAAAAIQC2gziS/gAAAOEBAAATAAAAAAAAAAAAAAAAAAAAAABbQ29u&#10;dGVudF9UeXBlc10ueG1sUEsBAi0AFAAGAAgAAAAhADj9If/WAAAAlAEAAAsAAAAAAAAAAAAAAAAA&#10;LwEAAF9yZWxzLy5yZWxzUEsBAi0AFAAGAAgAAAAhAP4u9povAgAAXAQAAA4AAAAAAAAAAAAAAAAA&#10;LgIAAGRycy9lMm9Eb2MueG1sUEsBAi0AFAAGAAgAAAAhALWM0xTiAAAACwEAAA8AAAAAAAAAAAAA&#10;AAAAiQQAAGRycy9kb3ducmV2LnhtbFBLBQYAAAAABAAEAPMAAACYBQAAAAA=&#10;" fillcolor="white [3201]" stroked="f" strokeweight=".5pt">
                <v:textbox>
                  <w:txbxContent>
                    <w:p w14:paraId="4F7845B7" w14:textId="77777777" w:rsidR="00BE4E11" w:rsidRPr="00DC0481" w:rsidRDefault="00BE4E11" w:rsidP="00BE4E11">
                      <w:pPr>
                        <w:pStyle w:val="HTMLconformatoprevio"/>
                        <w:spacing w:before="120" w:after="120"/>
                        <w:ind w:right="-4"/>
                        <w:jc w:val="both"/>
                        <w:rPr>
                          <w:rFonts w:ascii="Georgia" w:eastAsia="Calibri" w:hAnsi="Georgia" w:cs="Arial"/>
                          <w:b/>
                          <w:lang w:val="en-US"/>
                        </w:rPr>
                      </w:pPr>
                      <w:r w:rsidRPr="00DC0481">
                        <w:rPr>
                          <w:rFonts w:ascii="Georgia" w:eastAsia="Calibri" w:hAnsi="Georgia" w:cs="Arial"/>
                          <w:b/>
                          <w:lang w:val="en-US"/>
                        </w:rPr>
                        <w:t>Keywords</w:t>
                      </w:r>
                    </w:p>
                    <w:p w14:paraId="1F5DEC60" w14:textId="59D3032A" w:rsidR="00BE4E11" w:rsidRPr="00DC0481" w:rsidRDefault="00BE4E11" w:rsidP="00BE4E11">
                      <w:pPr>
                        <w:pStyle w:val="HTMLconformatoprevio"/>
                        <w:spacing w:before="120" w:after="120"/>
                        <w:ind w:right="-4"/>
                        <w:jc w:val="both"/>
                        <w:rPr>
                          <w:rFonts w:ascii="Georgia" w:eastAsia="Calibri" w:hAnsi="Georgia" w:cs="Arial"/>
                          <w:b/>
                          <w:lang w:val="en-US"/>
                        </w:rPr>
                      </w:pPr>
                      <w:r w:rsidRPr="00DC0481">
                        <w:rPr>
                          <w:rFonts w:ascii="Georgia" w:eastAsia="Calibri" w:hAnsi="Georgia" w:cs="Arial"/>
                          <w:b/>
                          <w:lang w:val="en-US"/>
                        </w:rPr>
                        <w:t>________________</w:t>
                      </w:r>
                    </w:p>
                    <w:p w14:paraId="52F254ED" w14:textId="758759CB" w:rsidR="00BE4E11" w:rsidRPr="00DC0481" w:rsidRDefault="00B34EC1" w:rsidP="004F6A11">
                      <w:pPr>
                        <w:pStyle w:val="HTMLconformatoprevio"/>
                        <w:spacing w:before="120" w:after="120"/>
                        <w:ind w:right="-4"/>
                        <w:rPr>
                          <w:rFonts w:ascii="Georgia" w:hAnsi="Georgia"/>
                          <w:lang w:val="en-US"/>
                        </w:rPr>
                      </w:pPr>
                      <w:r w:rsidRPr="00B34EC1">
                        <w:rPr>
                          <w:rFonts w:ascii="Georgia" w:hAnsi="Georgia"/>
                          <w:lang w:val="en"/>
                        </w:rPr>
                        <w:t>Strategies, Reading, Teachers, Animation</w:t>
                      </w:r>
                    </w:p>
                  </w:txbxContent>
                </v:textbox>
              </v:shape>
            </w:pict>
          </mc:Fallback>
        </mc:AlternateContent>
      </w:r>
      <w:r w:rsidR="009235D4" w:rsidRPr="0094623B">
        <w:rPr>
          <w:rFonts w:ascii="Georgia" w:hAnsi="Georgia"/>
        </w:rPr>
        <w:t xml:space="preserve"> </w:t>
      </w:r>
      <w:r w:rsidR="00B34EC1" w:rsidRPr="0094623B">
        <w:rPr>
          <w:rFonts w:ascii="Georgia" w:hAnsi="Georgia" w:cs="Arial"/>
          <w:lang w:val="en-US"/>
        </w:rPr>
        <w:t xml:space="preserve">The human being and everything related to his intellectual, physical, moral, </w:t>
      </w:r>
      <w:proofErr w:type="gramStart"/>
      <w:r w:rsidR="00B34EC1" w:rsidRPr="0094623B">
        <w:rPr>
          <w:rFonts w:ascii="Georgia" w:hAnsi="Georgia" w:cs="Arial"/>
          <w:lang w:val="en-US"/>
        </w:rPr>
        <w:t>personal</w:t>
      </w:r>
      <w:proofErr w:type="gramEnd"/>
      <w:r w:rsidR="00B34EC1" w:rsidRPr="0094623B">
        <w:rPr>
          <w:rFonts w:ascii="Georgia" w:hAnsi="Georgia" w:cs="Arial"/>
          <w:lang w:val="en-US"/>
        </w:rPr>
        <w:t xml:space="preserve"> and attitudinal development has evolved over time. In the same sense, educational institutions have not forgotten this progress as they seek to strengthen their PEI every day to provide a better education to their students. That is why technological tools have been applied in this project, including Web </w:t>
      </w:r>
      <w:proofErr w:type="spellStart"/>
      <w:r w:rsidR="00B34EC1" w:rsidRPr="0094623B">
        <w:rPr>
          <w:rFonts w:ascii="Georgia" w:hAnsi="Georgia" w:cs="Arial"/>
          <w:lang w:val="en-US"/>
        </w:rPr>
        <w:t>wix</w:t>
      </w:r>
      <w:proofErr w:type="spellEnd"/>
      <w:r w:rsidR="00B34EC1" w:rsidRPr="0094623B">
        <w:rPr>
          <w:rFonts w:ascii="Georgia" w:hAnsi="Georgia" w:cs="Arial"/>
          <w:lang w:val="en-US"/>
        </w:rPr>
        <w:t xml:space="preserve">, whose main objective is to apply reading strategies to texts that articulate important knowledge, using ICT as a didactic tool for 4th grade students of the Educational Unit </w:t>
      </w:r>
      <w:proofErr w:type="spellStart"/>
      <w:r w:rsidR="00B34EC1" w:rsidRPr="0094623B">
        <w:rPr>
          <w:rFonts w:ascii="Georgia" w:hAnsi="Georgia" w:cs="Arial"/>
          <w:lang w:val="en-US"/>
        </w:rPr>
        <w:t>Daule</w:t>
      </w:r>
      <w:proofErr w:type="spellEnd"/>
      <w:r w:rsidR="00B34EC1" w:rsidRPr="0094623B">
        <w:rPr>
          <w:rFonts w:ascii="Georgia" w:hAnsi="Georgia" w:cs="Arial"/>
          <w:lang w:val="en-US"/>
        </w:rPr>
        <w:t xml:space="preserve">, awakening your curious mind and the ability to identify, interpret and use reading skills. Likewise, the type of bibliographical research and quantitative methods at the descriptive level were used, with surveys of teachers. Which evidenced why the use of the </w:t>
      </w:r>
      <w:proofErr w:type="spellStart"/>
      <w:r w:rsidR="00B34EC1" w:rsidRPr="0094623B">
        <w:rPr>
          <w:rFonts w:ascii="Georgia" w:hAnsi="Georgia" w:cs="Arial"/>
          <w:lang w:val="en-US"/>
        </w:rPr>
        <w:t>Wix</w:t>
      </w:r>
      <w:proofErr w:type="spellEnd"/>
      <w:r w:rsidR="00B34EC1" w:rsidRPr="0094623B">
        <w:rPr>
          <w:rFonts w:ascii="Georgia" w:hAnsi="Georgia" w:cs="Arial"/>
          <w:lang w:val="en-US"/>
        </w:rPr>
        <w:t xml:space="preserve"> network to develop the results of teaching activities, especially in reading skills, guides students to become members of a virtual world, and competent.</w:t>
      </w:r>
    </w:p>
    <w:p w14:paraId="4D8CEF8C" w14:textId="77777777" w:rsidR="004F6A11" w:rsidRPr="0094623B" w:rsidRDefault="004F6A11" w:rsidP="00BE4E11">
      <w:pPr>
        <w:ind w:right="298"/>
        <w:jc w:val="right"/>
        <w:rPr>
          <w:rFonts w:ascii="Georgia" w:hAnsi="Georgia"/>
          <w:sz w:val="18"/>
          <w:szCs w:val="18"/>
          <w:lang w:eastAsia="es-ES"/>
        </w:rPr>
      </w:pPr>
    </w:p>
    <w:p w14:paraId="6C57350E" w14:textId="19397D69" w:rsidR="00BE4E11" w:rsidRPr="0094623B" w:rsidRDefault="00B34EC1" w:rsidP="00BE4E11">
      <w:pPr>
        <w:ind w:right="298"/>
        <w:jc w:val="right"/>
        <w:rPr>
          <w:rFonts w:ascii="Georgia" w:hAnsi="Georgia"/>
          <w:sz w:val="18"/>
          <w:szCs w:val="18"/>
          <w:lang w:eastAsia="es-ES"/>
        </w:rPr>
      </w:pPr>
      <w:r w:rsidRPr="0094623B">
        <w:rPr>
          <w:rFonts w:ascii="Georgia" w:hAnsi="Georgia"/>
          <w:sz w:val="18"/>
          <w:szCs w:val="18"/>
          <w:lang w:eastAsia="es-ES"/>
        </w:rPr>
        <w:t>Recibido 2 junio 2022 – Aceptado 09 noviembre 2022</w:t>
      </w:r>
    </w:p>
    <w:p w14:paraId="3F17D5FC" w14:textId="77777777" w:rsidR="00B34EC1" w:rsidRPr="0094623B" w:rsidRDefault="00B34EC1" w:rsidP="00BE4E11">
      <w:pPr>
        <w:ind w:right="298"/>
        <w:jc w:val="right"/>
        <w:rPr>
          <w:rFonts w:ascii="Georgia" w:hAnsi="Georgia"/>
          <w:sz w:val="18"/>
          <w:szCs w:val="18"/>
          <w:lang w:eastAsia="es-ES"/>
        </w:rPr>
      </w:pPr>
    </w:p>
    <w:p w14:paraId="2784F7E3" w14:textId="42B623D2" w:rsidR="004C236B" w:rsidRPr="0094623B" w:rsidRDefault="004C236B" w:rsidP="00BE4E11">
      <w:pPr>
        <w:pStyle w:val="Prrafodelista"/>
        <w:numPr>
          <w:ilvl w:val="0"/>
          <w:numId w:val="5"/>
        </w:numPr>
        <w:spacing w:before="120" w:after="120"/>
        <w:ind w:left="1701" w:firstLine="0"/>
        <w:jc w:val="both"/>
        <w:rPr>
          <w:rFonts w:ascii="Georgia" w:eastAsia="Calibri" w:hAnsi="Georgia" w:cs="Arial"/>
          <w:b/>
          <w:sz w:val="24"/>
          <w:szCs w:val="24"/>
        </w:rPr>
      </w:pPr>
      <w:r w:rsidRPr="0094623B">
        <w:rPr>
          <w:rFonts w:ascii="Georgia" w:eastAsia="Calibri" w:hAnsi="Georgia" w:cs="Arial"/>
          <w:b/>
          <w:sz w:val="24"/>
          <w:szCs w:val="24"/>
        </w:rPr>
        <w:t>I</w:t>
      </w:r>
      <w:r w:rsidR="00BE4E11" w:rsidRPr="0094623B">
        <w:rPr>
          <w:rFonts w:ascii="Georgia" w:eastAsia="Calibri" w:hAnsi="Georgia" w:cs="Arial"/>
          <w:b/>
          <w:sz w:val="24"/>
          <w:szCs w:val="24"/>
        </w:rPr>
        <w:t>ntroducción</w:t>
      </w:r>
    </w:p>
    <w:p w14:paraId="0AB07122" w14:textId="77777777" w:rsidR="004F6A11" w:rsidRPr="0094623B" w:rsidRDefault="004F6A11" w:rsidP="00B34EC1">
      <w:pPr>
        <w:autoSpaceDE w:val="0"/>
        <w:autoSpaceDN w:val="0"/>
        <w:adjustRightInd w:val="0"/>
        <w:spacing w:before="120" w:after="120"/>
        <w:ind w:left="1701"/>
        <w:jc w:val="both"/>
        <w:rPr>
          <w:rFonts w:ascii="Georgia" w:hAnsi="Georgia" w:cs="Arial"/>
        </w:rPr>
      </w:pPr>
    </w:p>
    <w:p w14:paraId="717D8357" w14:textId="1663B8AD"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La lectura se la considera como interpretación del significado de un texto en específico sean estas de propia cultura o conocimiento. Mientras que leer consiste en la comprensión o interpretación de un texto de alguna manera, a través de los cuales se descubren de pistas los sentimientos o pensamientos de alguien o cosas ocultas que le hacen o le pasan (Real Academia Española, 2001).</w:t>
      </w:r>
    </w:p>
    <w:p w14:paraId="77248D66"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El proceso de lectura por el cual una persona aprende a leer consta de cuatro procesos principales. El primero de ellos es el proceso visual, a través del cual las personas perciben los textos escritos (a través de la visión); el segundo es el proceso fonológico, en el que se adquiere el significado de las palabras en el texto perceptivo (se refiere a palabras conocidas por el lector); el tercero es el proceso sintáctico, mediante el cual se determinan las funciones de las palabras y su relación en la formación de oraciones; y el cuarto es el proceso semántico, mediante el cual se puede obtener el significado global del texto. El último ingresa en juego de conocimientos previos y la propia experiencia del </w:t>
      </w:r>
      <w:r w:rsidRPr="0094623B">
        <w:rPr>
          <w:rFonts w:ascii="Georgia" w:hAnsi="Georgia" w:cs="Arial"/>
        </w:rPr>
        <w:lastRenderedPageBreak/>
        <w:t xml:space="preserve">que lee, lo que permitirá la comprensión de lo que está leyendo (Cuetos, 2008). </w:t>
      </w:r>
    </w:p>
    <w:p w14:paraId="5051785E"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Mientras que algunos otros procesos son bastante objetivos, como los procesos visuales, otros, como los procesos semánticos, que dependen más de la experiencia de las personas. Esto, unido a la definición de lectura que nos da la RAE, enfatiza la subjetividad del proceso lector, haciendo de la actitud del lector ante el texto una parte esencial que será la parte que trabajará con la animación lectora. Ítalo Calvino señaló la importancia del ser humano, diciendo que la lectura “tiene un ritmo propio, dictado por la voluntad del lector” (citado por Ibarrola, 1997).</w:t>
      </w:r>
    </w:p>
    <w:p w14:paraId="608380CB"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Enseñar a leer y escribir en las escuelas ha demostrado ser un dilema, tanto es así que podemos hablar de una crisis lectora. El acceso a la educación no es sinónimo de aprendizaje de calidad. Por esta razón, la alfabetización debe cambiar radicalmente, una de las razones de este fracaso es la conciencia general sobre el proceso de enseñanza y la práctica educativa que lo acompaña, por otra parte, la lectura a menudo se considera una actividad mecánica, el aprendizaje depende casi por completo de la memoria y su única función es registrar datos que los estudiantes puedan consultar más adelante, en esa visión limitada se impone el alumno en un rol receptor del conocimiento (Rodríguez, Rodríguez, Molina, &amp; Montero, 2018, pág. 36).</w:t>
      </w:r>
    </w:p>
    <w:p w14:paraId="2FF0D300"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Según Ortiz &amp; Párraga (2006), menciona que uno de los errores que se presenta es que en la educación tradicional prevalece principalmente la copia, el dictado y la repetición, promoviéndose a la escritura mecánica, que se limita a copiar letras, sílabas y palabras separadas. Otro error común es delegar la responsabilidad de desarrollar la legibilidad a una sola disciplina, generalmente el idioma, cuando todas las disciplinas requieren lectura.</w:t>
      </w:r>
    </w:p>
    <w:p w14:paraId="44DB6604"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Es importante brindar un acompañamiento al infante </w:t>
      </w:r>
      <w:proofErr w:type="gramStart"/>
      <w:r w:rsidRPr="0094623B">
        <w:rPr>
          <w:rFonts w:ascii="Georgia" w:hAnsi="Georgia" w:cs="Arial"/>
        </w:rPr>
        <w:t>de acuerdo a</w:t>
      </w:r>
      <w:proofErr w:type="gramEnd"/>
      <w:r w:rsidRPr="0094623B">
        <w:rPr>
          <w:rFonts w:ascii="Georgia" w:hAnsi="Georgia" w:cs="Arial"/>
        </w:rPr>
        <w:t xml:space="preserve"> los estímulos de las primeras etapas del infante, esto le permite desarrollar su capacidad para un buen desarrollo integral, en este caso inculcándole de una u otra manera hábitos literarios desde temprana edad, debido a los enormes beneficios que se obtienen a través de ella, contribuyendo a un buen desarrollo social, emocional y cognitivo.</w:t>
      </w:r>
    </w:p>
    <w:p w14:paraId="2FE57814"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Con lo anterior expuesto, se tiene en cuenta cuál es la dimensión comunicativa considerando la lectura infantil ya que es un punto importante en la evolución de </w:t>
      </w:r>
      <w:proofErr w:type="gramStart"/>
      <w:r w:rsidRPr="0094623B">
        <w:rPr>
          <w:rFonts w:ascii="Georgia" w:hAnsi="Georgia" w:cs="Arial"/>
        </w:rPr>
        <w:t>los niños y niñas</w:t>
      </w:r>
      <w:proofErr w:type="gramEnd"/>
      <w:r w:rsidRPr="0094623B">
        <w:rPr>
          <w:rFonts w:ascii="Georgia" w:hAnsi="Georgia" w:cs="Arial"/>
        </w:rPr>
        <w:t xml:space="preserve"> ya que se enfoca en la forma y expresión de sus ideas. Construyen conocimiento interactuando con contenidos que favorezcan su desarrollo lingüístico </w:t>
      </w:r>
      <w:r w:rsidRPr="0094623B">
        <w:rPr>
          <w:rFonts w:ascii="Georgia" w:hAnsi="Georgia" w:cs="Arial"/>
        </w:rPr>
        <w:lastRenderedPageBreak/>
        <w:t>para fortalecer la forma en que se expresan, logrando que lo que quieren transmitir sea claro y coherente, por lo que es importante crear herramientas y escenarios interactivos para fomentar el estímulo desde la primera infancia. (</w:t>
      </w:r>
      <w:proofErr w:type="spellStart"/>
      <w:r w:rsidRPr="0094623B">
        <w:rPr>
          <w:rFonts w:ascii="Georgia" w:hAnsi="Georgia" w:cs="Arial"/>
        </w:rPr>
        <w:t>Pedag</w:t>
      </w:r>
      <w:proofErr w:type="spellEnd"/>
      <w:r w:rsidRPr="0094623B">
        <w:rPr>
          <w:rFonts w:ascii="Georgia" w:hAnsi="Georgia" w:cs="Arial"/>
        </w:rPr>
        <w:t xml:space="preserve">, </w:t>
      </w:r>
      <w:proofErr w:type="spellStart"/>
      <w:r w:rsidRPr="0094623B">
        <w:rPr>
          <w:rFonts w:ascii="Georgia" w:hAnsi="Georgia" w:cs="Arial"/>
        </w:rPr>
        <w:t>n.d</w:t>
      </w:r>
      <w:proofErr w:type="spellEnd"/>
      <w:r w:rsidRPr="0094623B">
        <w:rPr>
          <w:rFonts w:ascii="Georgia" w:hAnsi="Georgia" w:cs="Arial"/>
        </w:rPr>
        <w:t>.). Por ello, debe existir un tiempo de lectura favorable e importante dentro del aula educativa, considerando que a esta edad se despierta el interés y la creatividad para crear historias que beneficien el sistema cognitivo, y los docentes deben contar con estrategias innovadoras a utilizar para adquirir la habilidad de lectura. Este es el error que cometen muchos docentes al no motivar a los alumnos para introducirlos en tales situaciones.</w:t>
      </w:r>
    </w:p>
    <w:p w14:paraId="113C5BD4"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El aprendizaje, por su parte, es un concepto amplio que posibilita el uso de nuevas herramientas innovadoras en el contexto de las Tecnologías de la Información y la Comunicación (TIC), que se basa en el uso de nuevos dispositivos tecnológicos como computadoras, tabletas y teléfonos móviles para realizar cualquier operación, a través del desarrollo de Internet, y las plataformas y software disponibles. Chen (2019), licenciado en Ciencias de la Comunicación, dijo que las TIC se consideran productos innovadores, en los que la ciencia y la ingeniería trabajan juntas para desarrollar dispositivos y sistemas que resuelven problemas cotidianos.</w:t>
      </w:r>
    </w:p>
    <w:p w14:paraId="539B8F35"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Por ejemplo, comprar en línea, pagar servicios, registrarse en diferentes actividades en línea, conversar (chatear), escuchar música, ver videos, recibir mensajes por correo electrónico, realizar consultas, etc.; pero una de las acciones más comunes que realizan los jóvenes en la nueva era está repasando y leyendo textos digitales, reemplazando las copias en los estantes de las bibliotecas.</w:t>
      </w:r>
    </w:p>
    <w:p w14:paraId="11D1D121"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Una generación que los educadores denominan “nativos digitales”, en alusión a aquellos que nacieron en la tecnología digital, es decir, a partir de los años 90, se encuentran en la pantalla de cualquier dispositivo electrónico que les proporcione información acorde a sus intereses particulares Leer es más fácil y práctico. A raíz de lo anterior, se han propuesto nuevas ideas innovadoras para inspirar a los niños a aprender a través de documentos digitales, ya que no cabe duda de que viven en un mundo virtual, aprendiendo de la información y la comunicación (Fernández-de-Arroyabe-</w:t>
      </w:r>
      <w:proofErr w:type="spellStart"/>
      <w:r w:rsidRPr="0094623B">
        <w:rPr>
          <w:rFonts w:ascii="Georgia" w:hAnsi="Georgia" w:cs="Arial"/>
        </w:rPr>
        <w:t>Olaortua</w:t>
      </w:r>
      <w:proofErr w:type="spellEnd"/>
      <w:r w:rsidRPr="0094623B">
        <w:rPr>
          <w:rFonts w:ascii="Georgia" w:hAnsi="Georgia" w:cs="Arial"/>
        </w:rPr>
        <w:t xml:space="preserve">, Lazkano -Arrillaga y </w:t>
      </w:r>
      <w:proofErr w:type="spellStart"/>
      <w:r w:rsidRPr="0094623B">
        <w:rPr>
          <w:rFonts w:ascii="Georgia" w:hAnsi="Georgia" w:cs="Arial"/>
        </w:rPr>
        <w:t>Eguskiza</w:t>
      </w:r>
      <w:proofErr w:type="spellEnd"/>
      <w:r w:rsidRPr="0094623B">
        <w:rPr>
          <w:rFonts w:ascii="Georgia" w:hAnsi="Georgia" w:cs="Arial"/>
        </w:rPr>
        <w:t xml:space="preserve"> </w:t>
      </w:r>
      <w:proofErr w:type="spellStart"/>
      <w:r w:rsidRPr="0094623B">
        <w:rPr>
          <w:rFonts w:ascii="Georgia" w:hAnsi="Georgia" w:cs="Arial"/>
        </w:rPr>
        <w:t>Sesumaga</w:t>
      </w:r>
      <w:proofErr w:type="spellEnd"/>
      <w:r w:rsidRPr="0094623B">
        <w:rPr>
          <w:rFonts w:ascii="Georgia" w:hAnsi="Georgia" w:cs="Arial"/>
        </w:rPr>
        <w:t>, 2018).</w:t>
      </w:r>
    </w:p>
    <w:p w14:paraId="39508F8B"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Por ello, es importante brindar a </w:t>
      </w:r>
      <w:proofErr w:type="gramStart"/>
      <w:r w:rsidRPr="0094623B">
        <w:rPr>
          <w:rFonts w:ascii="Georgia" w:hAnsi="Georgia" w:cs="Arial"/>
        </w:rPr>
        <w:t>los niños y niñas</w:t>
      </w:r>
      <w:proofErr w:type="gramEnd"/>
      <w:r w:rsidRPr="0094623B">
        <w:rPr>
          <w:rFonts w:ascii="Georgia" w:hAnsi="Georgia" w:cs="Arial"/>
        </w:rPr>
        <w:t xml:space="preserve"> oportunidades de aprendizaje, no solo en el aula, sino también en su vida social, para que hagan pleno uso de las TIC, lo que lleva a que los docentes se encarguen de trabajar desde rutas pedagógicas diseñadas e </w:t>
      </w:r>
      <w:r w:rsidRPr="0094623B">
        <w:rPr>
          <w:rFonts w:ascii="Georgia" w:hAnsi="Georgia" w:cs="Arial"/>
        </w:rPr>
        <w:lastRenderedPageBreak/>
        <w:t>innovadoras, comprender la motivación de los estudiantes para participar a través de la interacción con las actividades propuestas.</w:t>
      </w:r>
    </w:p>
    <w:p w14:paraId="629F95F2"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De esta manera, la tarea del docente es importante al momento de enseñar a través de estrategias que ayuden a los niños a desarrollar la lectura a través del proceso de </w:t>
      </w:r>
      <w:proofErr w:type="spellStart"/>
      <w:proofErr w:type="gramStart"/>
      <w:r w:rsidRPr="0094623B">
        <w:rPr>
          <w:rFonts w:ascii="Georgia" w:hAnsi="Georgia" w:cs="Arial"/>
        </w:rPr>
        <w:t>aprendizaje.“</w:t>
      </w:r>
      <w:proofErr w:type="gramEnd"/>
      <w:r w:rsidRPr="0094623B">
        <w:rPr>
          <w:rFonts w:ascii="Georgia" w:hAnsi="Georgia" w:cs="Arial"/>
        </w:rPr>
        <w:t>Una</w:t>
      </w:r>
      <w:proofErr w:type="spellEnd"/>
      <w:r w:rsidRPr="0094623B">
        <w:rPr>
          <w:rFonts w:ascii="Georgia" w:hAnsi="Georgia" w:cs="Arial"/>
        </w:rPr>
        <w:t xml:space="preserve"> herramienta didáctica es considerada un recurso y un medio de motivación en el proceso de enseñanza, sin embargo, los docentes deben participar en el proceso de conocer a los niños y niñas para que puedan brindar una formación de calidad” (García Hernández &amp; de la Cruz Blanco, 2014, p. 165). Considerando como las instituciones necesitan promover el uso de las TIC en el aula, considerando que las utilizan como herramienta tecnológica, sería conveniente utilizarlas para potenciar el aprendizaje en el aula. Los estudiantes, aun conociendo la edad del niño desde temprana edad son capaces de manipular dispositivos tecnológicos.</w:t>
      </w:r>
    </w:p>
    <w:p w14:paraId="1F484593"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Tomando en consideración la problemática, se observa la falta de motivación de los niños de 7 a 9 años de la Unidad Educativa Daule, de acuerdo a la implementación de las herramientas didácticas que utilizan los docentes en la asignatura de lectura y escritura, ya que utiliza plantillas y transcribe los contenidos de la pizarra en cuadernos; ya que revela cansancio y desmotivación en la realización de actividades al no utilizar estrategias didácticas e innovadoras que potencien y motiven el proceso lector, como se evidencia el mismo procedimiento de enseñanza, lo que provoca que los alumnos se levanten y se alejen de sus asientos, distrayendo así a los compañeros que se encuentran a su lado. Crear un espacio para la socialización y estimulación a través de la literatura es importante ya que se considera una de las actividades educativas importantes en la primera infancia y se basa en el aprendizaje de palabras a través de contenido instructivo ilustrado, lo que permite que los niños interactúen a través del juego de palabras para caracterizarlos. Conocimiento aprendido a través de la ilustración. notación (Ecuador. Ministerio de Educación., 2017)</w:t>
      </w:r>
    </w:p>
    <w:p w14:paraId="32A1D805"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w:t>
      </w:r>
      <w:r w:rsidRPr="0094623B">
        <w:rPr>
          <w:rFonts w:ascii="Georgia" w:hAnsi="Georgia" w:cs="Arial"/>
        </w:rPr>
        <w:tab/>
        <w:t>Animación a la lectura</w:t>
      </w:r>
    </w:p>
    <w:p w14:paraId="05E8F377"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Animación adquiere diferentes significados tales como: llenar el alma (dar vida), conmover, motivar, elevar y comunicar. Esta palabra tiene una disputa sobre el país de origen, debido que para algunos autores tiene su origen en Francia, para otros tiene su origen en España; los defensores de la animación lectora de origen español se basan en el carácter progresista de su ley general educativa. Sin embargo, se sabe que diferentes países del mundo lo están promoviendo, y Cuba tiene uno de los índices más altos, por tanto, es de vital importancia recordar que la animación de la lectura contiene un medio concreto y directo </w:t>
      </w:r>
      <w:r w:rsidRPr="0094623B">
        <w:rPr>
          <w:rFonts w:ascii="Georgia" w:hAnsi="Georgia" w:cs="Arial"/>
        </w:rPr>
        <w:lastRenderedPageBreak/>
        <w:t>para inducir, estimular y orientar el deseo y el gusto por la lectura (Palomino, 2018).</w:t>
      </w:r>
    </w:p>
    <w:p w14:paraId="54D0BFD2"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La mayoría de las propuestas de animación están basadas en la creatividad. </w:t>
      </w:r>
      <w:proofErr w:type="spellStart"/>
      <w:r w:rsidRPr="0094623B">
        <w:rPr>
          <w:rFonts w:ascii="Georgia" w:hAnsi="Georgia" w:cs="Arial"/>
        </w:rPr>
        <w:t>Alaín</w:t>
      </w:r>
      <w:proofErr w:type="spellEnd"/>
      <w:r w:rsidRPr="0094623B">
        <w:rPr>
          <w:rFonts w:ascii="Georgia" w:hAnsi="Georgia" w:cs="Arial"/>
        </w:rPr>
        <w:t xml:space="preserve"> </w:t>
      </w:r>
      <w:proofErr w:type="spellStart"/>
      <w:r w:rsidRPr="0094623B">
        <w:rPr>
          <w:rFonts w:ascii="Georgia" w:hAnsi="Georgia" w:cs="Arial"/>
        </w:rPr>
        <w:t>Beaudot</w:t>
      </w:r>
      <w:proofErr w:type="spellEnd"/>
      <w:r w:rsidRPr="0094623B">
        <w:rPr>
          <w:rFonts w:ascii="Georgia" w:hAnsi="Georgia" w:cs="Arial"/>
        </w:rPr>
        <w:t xml:space="preserve">, citado en Sarto (1984) planteó una hipótesis: </w:t>
      </w:r>
    </w:p>
    <w:p w14:paraId="675BBFD7"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“el pensamiento divergente o creativo no puede ejercitarse sobre el vacío, necesita un soporte de informaciones almacenadas en la memoria. Si este soporte es pobre, el pensamiento divergente carece de material suficiente para estructurar sus creaciones”. (Sarto, 1984)</w:t>
      </w:r>
    </w:p>
    <w:p w14:paraId="45DB922B"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Como se desprende de lo anterior, la animación de la lectura, por su creatividad, estimula el desarrollo del pensamiento crítico, pero también puede encontrar apoyo en la información almacenada en el lector. </w:t>
      </w:r>
      <w:proofErr w:type="spellStart"/>
      <w:r w:rsidRPr="0094623B">
        <w:rPr>
          <w:rFonts w:ascii="Georgia" w:hAnsi="Georgia" w:cs="Arial"/>
        </w:rPr>
        <w:t>Storr</w:t>
      </w:r>
      <w:proofErr w:type="spellEnd"/>
      <w:r w:rsidRPr="0094623B">
        <w:rPr>
          <w:rFonts w:ascii="Georgia" w:hAnsi="Georgia" w:cs="Arial"/>
        </w:rPr>
        <w:t>, citado en Sarto (1984), menciona que el hombre gobierna el mundo no por la fuerza, sino por su capacidad de crear símbolos, producto de su pensamiento abstracto.</w:t>
      </w:r>
    </w:p>
    <w:p w14:paraId="13834727"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La lectura incentivada pretende apoyar y fortalecer los impulsos curiosos que rigen al ser humano y lo llevan a comprender, descubrir, experimentar, juzgar y valorar la realidad que está aconteciendo. Como afirmó John </w:t>
      </w:r>
      <w:proofErr w:type="spellStart"/>
      <w:r w:rsidRPr="0094623B">
        <w:rPr>
          <w:rFonts w:ascii="Georgia" w:hAnsi="Georgia" w:cs="Arial"/>
        </w:rPr>
        <w:t>Spink</w:t>
      </w:r>
      <w:proofErr w:type="spellEnd"/>
      <w:r w:rsidRPr="0094623B">
        <w:rPr>
          <w:rFonts w:ascii="Georgia" w:hAnsi="Georgia" w:cs="Arial"/>
        </w:rPr>
        <w:t xml:space="preserve"> (1990), el trabajo se hace para facilitar la adquisición de conocimientos por parte de los niños mientras desarrollan sus habilidades de pensamiento independiente y crítico. </w:t>
      </w:r>
    </w:p>
    <w:p w14:paraId="2E4D5A3E"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Los niños aprenden a leer mucho antes de recibir instrucción formal en lectura (</w:t>
      </w:r>
      <w:proofErr w:type="spellStart"/>
      <w:r w:rsidRPr="0094623B">
        <w:rPr>
          <w:rFonts w:ascii="Georgia" w:hAnsi="Georgia" w:cs="Arial"/>
        </w:rPr>
        <w:t>Spink</w:t>
      </w:r>
      <w:proofErr w:type="spellEnd"/>
      <w:r w:rsidRPr="0094623B">
        <w:rPr>
          <w:rFonts w:ascii="Georgia" w:hAnsi="Georgia" w:cs="Arial"/>
        </w:rPr>
        <w:t>, 1990), lo cual es comprensible si se considera su motivación para aprender a leer porque la lectura existe en su vida diaria, en su entorno familiar (libros, periódicos, revistas, antes de acostarse, cuentos, lista de la compra de mamá, etc.) y social (carteles publicitarios, anuncios, nombres de tiendas, etc.), por lo que la función y objetivo del docente es preparar los caminos adecuados para canalizar este entusiasmo y despertar el placer y el disfrute de leer.</w:t>
      </w:r>
    </w:p>
    <w:p w14:paraId="688BC367"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Sin duda, la mejor manera de desarrollar lectores ávidos es pensar en lo que los motiva y lo que quieren. Por ello, la pedagogía en educación infantil defiende la necesidad de crear un entorno adecuado para adaptar la enseñanza a los estilos naturales de aprendizaje de los niños. Los estímulos de lectura deben ser activos, voluntarios, diferentes, agradables, atractivos (Kohan, 2006)</w:t>
      </w:r>
    </w:p>
    <w:p w14:paraId="54D4402D"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Además, la necesidad de mejorar la calidad de la comprensión lectora es evidente. Si bien saber leer no era un objetivo primordial en las primeras etapas de su desarrollo, será un requisito esencial en un </w:t>
      </w:r>
      <w:r w:rsidRPr="0094623B">
        <w:rPr>
          <w:rFonts w:ascii="Georgia" w:hAnsi="Georgia" w:cs="Arial"/>
        </w:rPr>
        <w:lastRenderedPageBreak/>
        <w:t>futuro cercano cuando la buena lectura se convierta en un requisito esencial (Colomer, 2012)</w:t>
      </w:r>
    </w:p>
    <w:p w14:paraId="6DAEDE8E"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Kohan enumera una serie de beneficios que promueven los hábitos lectores; la empatía, la tolerancia, el pensamiento abstracto, la comunicación, la comprensión del mundo, el ocio, la relajación, el pensamiento rápido y el desarrollo de la conciencia son los aspectos más importantes del autor en el desarrollo de la educación lectora (Kohan, 2006)</w:t>
      </w:r>
    </w:p>
    <w:p w14:paraId="689CD01D"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 Huizar &amp; De la Torre (2020) mencionan que existe una serie de requisitos muy básicos que se deben cumplir para lograr obtener un nivel muy bueno de competencia lectora. De los cuales, los aspectos más relevantes a considerar son los de la Educación Infantil que son las actitudes emocionales hacia la lectura (como el compromiso emocional de los alumnos y la familiaridad con la lectura), el uso de recursos escritos (dónde y cómo obtener información escrita), la velocidad lectora (que implica el desarrollo efectivo de la destreza lectora), y la construcción mental de la información (comprensión e integración de lo leído con los conocimientos previos y la propia experiencia).</w:t>
      </w:r>
    </w:p>
    <w:p w14:paraId="62E8E357"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Fomentar la lectura defiende con firmeza que “el placer de la lectura no se impone, sino que se despierta” tal como menciona Kohan (2006) y se diseñan técnicas y estrategias para motivar a los niños a leer, para hacerles entender que “la vida es leer lo que pasa en el mundo, todo el mundo puede leer”.</w:t>
      </w:r>
    </w:p>
    <w:p w14:paraId="1B6675A5"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El Fomento a la Lectura proporciona técnicas y actividades para mejorar aspectos fundamentales relacionados con la educación lectora desde la perspectiva de los alumnos y animadores/docentes: prelectura y habilidades lectoras, motivación para leer, disfrute de la lectura y pedagogías que fomentan la lectura. </w:t>
      </w:r>
    </w:p>
    <w:p w14:paraId="44BC0A24"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Entonces, por todas estas razones, los niños necesitan saber de libros, textos, palabras, lecturas, cuentos, experiencias de otras personas, necesitan saber que la lectura abre puertas a la imaginación y al conocimiento, entonces un camino hacia la inteligencia, el lenguaje, la emoción, un camino directo al desarrollo personal, social, moral y espiritual, en definitiva, a una vida mejor.</w:t>
      </w:r>
    </w:p>
    <w:p w14:paraId="7CDDE0B0"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Al igual que los demás conocimientos y aptitudes, esta sensibilización deberá conseguirse en contacto con la vida y la sociedad. Sería inexplicable que solo el aprendizaje y la motivación para la lectura quedaran al margen de esta inserción en la realidad circundante, exigida hoy a todo el conjunto didáctico y educativo. (p. 11)</w:t>
      </w:r>
    </w:p>
    <w:p w14:paraId="6701C96E"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lastRenderedPageBreak/>
        <w:t>Las actividades deberán ser, como Sarto (1984) las sostuvo, lúdicas y divertidas, con la finalidad de liberar al estudiante de la disciplina agobiante impuesta por el aprendizaje reglado. La jornada escolar es agotadora ya que se desarrolla con métodos tradicionales, por lo que es necesario incluir las actividades, pues le darán al niño ese espacio recreativo para un adecuado desarrollo emocional y psicológico.</w:t>
      </w:r>
    </w:p>
    <w:p w14:paraId="4A9966CA"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w:t>
      </w:r>
      <w:r w:rsidRPr="0094623B">
        <w:rPr>
          <w:rFonts w:ascii="Georgia" w:hAnsi="Georgia" w:cs="Arial"/>
        </w:rPr>
        <w:tab/>
        <w:t>Educación de las TIC</w:t>
      </w:r>
    </w:p>
    <w:p w14:paraId="7A092773"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La Tecnología de la Información y la Comunicación (TIC) es un gran desafío para los docentes por ser el nuevo reto del siglo XXI, contribuye a la universalización de la educación y al mejoramiento de la calidad de la enseñanza; enriqueciendo y transformando la educación, con base en el Ministerio de Educación (2017). Las TIC como herramienta para motivar a los estudiantes a aprender a través de la interacción que brinda, mediante la potenciación visual, auditiva y escrita de las habilidades y destrezas en el lenguaje en su etapa escolar, según los docentes Aprendizaje significativo de lo que se enseña. De esta forma, se aporta a la educación desde un punto de vista innovador y pedagógico para contribuir y reforzar los conocimientos previos de los alumnos, como es el caso de la lectura en la primera infancia.</w:t>
      </w:r>
    </w:p>
    <w:p w14:paraId="4C3B5F56"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De esta forma, se retoma la importancia de las TIC en la educación como medio para motivar el aprendizaje de nuevos temas dentro del aula, con mayor éxito y adaptabilidad en unos aspectos que en otros, tal y como se describió anteriormente Zempoalteca, Barragán, &amp; González, (2017) el nuevo modelo educativo brinda herramientas útiles para el proceso de enseñanza y aprendizaje desde la educación inicial, en este caso, el uso de herramientas didácticas como las TIC en su relación con la vida de las personas, también juega un papel importante en el proceso educativo como una herramienta para la colaboración con otros como un medio motivador en el campo educativo.</w:t>
      </w:r>
    </w:p>
    <w:p w14:paraId="1CC54A20"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Considerando lo anterior, el autor enfatiza el importante papel de las TIC en la educación, por lo tanto, la educación digital en el proceso de integración será igualmente propicia para la popularización de nuevos conocimientos y posibilitará la educación. No solo enseñar en el aula, sino también ser útil a la sociedad, permitiendo que docentes, padres y estudiantes aprovechen al máximo, interactuando y aprendiendo de las herramientas tecnológicas, al mismo tiempo que aprovechan los recursos que brinda. (</w:t>
      </w:r>
      <w:proofErr w:type="spellStart"/>
      <w:r w:rsidRPr="0094623B">
        <w:rPr>
          <w:rFonts w:ascii="Georgia" w:hAnsi="Georgia" w:cs="Arial"/>
        </w:rPr>
        <w:t>Rappoport</w:t>
      </w:r>
      <w:proofErr w:type="spellEnd"/>
      <w:r w:rsidRPr="0094623B">
        <w:rPr>
          <w:rFonts w:ascii="Georgia" w:hAnsi="Georgia" w:cs="Arial"/>
        </w:rPr>
        <w:t>, 2019)</w:t>
      </w:r>
    </w:p>
    <w:p w14:paraId="57B965F8"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lastRenderedPageBreak/>
        <w:t>Los autores enfatizan la importancia del uso de las TIC en la educación como una innovación y un medio de instrucción desde la perspectiva del docente, estimulando la interacción de los estudiantes a través del desarrollo de actividades que mejoran el aprendizaje dentro del aula. Esto asegura que los estudiantes progresen rápido académica y socialmente.</w:t>
      </w:r>
    </w:p>
    <w:p w14:paraId="7E89CBB5"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Para Pinares (2018) de la Universidad de Granada y experto en la aplicación de las TIC en la educación señaló que mediante el uso de herramientas tecnológicas se puede llevar a cabo una enseñanza eficaz en el aula, estimulando y concienciando de la importancia del trabajo innovador, dejando la zona de confort, y de atraer la atención de los estudiantes, a través de recursos para crear conceptos claros sobre la importancia de enseñar y guiarlo para participar en el aprendizaje interactivo de una manera segura y significativa.</w:t>
      </w:r>
    </w:p>
    <w:p w14:paraId="0758DF2F"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La llegada de la tecnología a la sociedad y a la academia no puede ser ignorada, aun cuando los seres humanos se vuelven más dependientes de los recursos que ésta aporta para que sus respectivas funciones se realicen de manera rápida y creativa. Asimismo, el uso de las TIC en el aula puede potenciar un proceso de enseñanza que se centre en los intereses, gustos y habilidades de los estudiantes al crear escenarios colaborativos, interactivos y constructivos a través de la interacción con los contenidos de la materia, lo que lleva a importantes aprendizajes a largo plazo.</w:t>
      </w:r>
    </w:p>
    <w:p w14:paraId="7776CE6F"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w:t>
      </w:r>
      <w:r w:rsidRPr="0094623B">
        <w:rPr>
          <w:rFonts w:ascii="Georgia" w:hAnsi="Georgia" w:cs="Arial"/>
        </w:rPr>
        <w:tab/>
        <w:t>Las TIC como estrategia pedagógica</w:t>
      </w:r>
    </w:p>
    <w:p w14:paraId="23DA79A7"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Para Medina, y otros (2018) las TIC contribuyen a la educación a través de la innovación y son vistas como una herramienta didáctica que estimula a los estudiantes a interactuar y aprender al mismo tiempo, con ellas es posible trabajar en diferentes áreas temáticas y es un documento clave para la educación en el proceso de enseñanza y aprendizaje; permitirles adquirir los conocimientos necesarios también es importante, y de esta manera es claro que el desarrollo integral de los estudiantes puede ser facilitado mediante la implementación de estrategias que generen un compromiso activo y efectivo. Por tal motivo surgió la idea de implementar una estrategia didáctica que motive a los niños a interactuar con actividades planificadas para potenciar el aprendizaje lector a través de este proceso investigativo.</w:t>
      </w:r>
    </w:p>
    <w:p w14:paraId="0F79C2EE"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Es importante que los docentes utilicen las herramientas tecnológicas de forma adecuada y creativa en el proceso de formación, cambiando ligeramente el papel de la repetición en el aula y actuando como </w:t>
      </w:r>
      <w:r w:rsidRPr="0094623B">
        <w:rPr>
          <w:rFonts w:ascii="Georgia" w:hAnsi="Georgia" w:cs="Arial"/>
        </w:rPr>
        <w:lastRenderedPageBreak/>
        <w:t>mediadores y facilitadores en el proceso de aprendizaje del alumno. De esta manera, se crea una idea importante sobre el uso de las TIC en la educación como una herramienta educativa innovadora e interactiva, teniendo en cuenta aspectos importantes como el desarrollo de competencias en la educación inicial. (Ministerio de Educación, 2017)</w:t>
      </w:r>
    </w:p>
    <w:p w14:paraId="4D37CDF9"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Las instituciones juegan un papel importante en la formación de los educadores, utilizando las TIC como un recurso para facilitar y llevar a cabo la educación a través de las interacciones que se dan con ella, aunque una nueva generación tiene un incentivo en manipular los dispositivos electrónicos para usarlos de muchas formas, esto es donde los docentes hacen uso de ella, mediante la implementación de herramientas para resolver cualquier problema que se presente en el aula, permitiendo que los estudiantes aprendan a través de la interacción grupal o individual, concientizándolos así sobre la importancia del uso de las TIC para un desarrollo más rápido, tanto académico como social. Asimismo, a través de la interacción con las TIC, los niños pueden aprender tanto de manera teórica como práctica, potenciando sus habilidades y destrezas en el aprendizaje de la lectura como base para el desarrollo cognitivo.</w:t>
      </w:r>
    </w:p>
    <w:p w14:paraId="46C96306" w14:textId="70E5950F"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Del mismo modo, se resalta la investigación de Guerrero, y otros (2018) titulada: “Lectura y escritura a través de la investigación como estrategia pedagógica apoyada en las TIC” que tiene como finalidad principal potenciar el aprendizaje de la lectura y la escritura de los niños, a partir del uso de las TIC como una innovación, herramienta didáctica que motiva a los estudiantes a aprender a través del desarrollo de actividades planificadas.</w:t>
      </w:r>
    </w:p>
    <w:p w14:paraId="6E8AFF5D" w14:textId="6504CBCA" w:rsidR="00DC3240" w:rsidRPr="0094623B" w:rsidRDefault="00BE4E11" w:rsidP="00BE4E11">
      <w:pPr>
        <w:pStyle w:val="Prrafodelista"/>
        <w:numPr>
          <w:ilvl w:val="0"/>
          <w:numId w:val="5"/>
        </w:numPr>
        <w:autoSpaceDE w:val="0"/>
        <w:autoSpaceDN w:val="0"/>
        <w:adjustRightInd w:val="0"/>
        <w:spacing w:before="120" w:after="120"/>
        <w:ind w:left="1701" w:firstLine="0"/>
        <w:jc w:val="both"/>
        <w:rPr>
          <w:rFonts w:ascii="Georgia" w:hAnsi="Georgia" w:cs="Arial"/>
          <w:b/>
        </w:rPr>
      </w:pPr>
      <w:r w:rsidRPr="0094623B">
        <w:rPr>
          <w:rFonts w:ascii="Georgia" w:hAnsi="Georgia" w:cs="Arial"/>
          <w:b/>
        </w:rPr>
        <w:t>Metodología</w:t>
      </w:r>
    </w:p>
    <w:p w14:paraId="3C0ED301"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Esta investigación es documental de nivel descriptivo, para la aplicación del estudio de campo se tomó como unidad de análisis a los docentes de la Unidad Educativa Daule y como población se identificó a 20 docentes. Así mismo, para la implementación del instrumento de recolección de información se aplicó un muestreo no probabilístico por conveniencia obteniendo una muestra de 20.</w:t>
      </w:r>
    </w:p>
    <w:p w14:paraId="0EE756B7" w14:textId="1FC192F9"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El instrumento de recolección de información seleccionado fue la encuesta y está dirigida a los docentes de la Unidad educativa Daule con el objetivo de conocer si están relacionados con el uso de las Tics, para un mejor aprendizaje en la lectura. Finalmente, se realizó por medio de Google </w:t>
      </w:r>
      <w:proofErr w:type="spellStart"/>
      <w:r w:rsidRPr="0094623B">
        <w:rPr>
          <w:rFonts w:ascii="Georgia" w:hAnsi="Georgia" w:cs="Arial"/>
        </w:rPr>
        <w:t>Form</w:t>
      </w:r>
      <w:proofErr w:type="spellEnd"/>
      <w:r w:rsidRPr="0094623B">
        <w:rPr>
          <w:rFonts w:ascii="Georgia" w:hAnsi="Georgia" w:cs="Arial"/>
        </w:rPr>
        <w:t xml:space="preserve"> el cual se envió el </w:t>
      </w:r>
      <w:proofErr w:type="gramStart"/>
      <w:r w:rsidRPr="0094623B">
        <w:rPr>
          <w:rFonts w:ascii="Georgia" w:hAnsi="Georgia" w:cs="Arial"/>
        </w:rPr>
        <w:t>link</w:t>
      </w:r>
      <w:proofErr w:type="gramEnd"/>
      <w:r w:rsidRPr="0094623B">
        <w:rPr>
          <w:rFonts w:ascii="Georgia" w:hAnsi="Georgia" w:cs="Arial"/>
        </w:rPr>
        <w:t xml:space="preserve"> https://forms.gle/BcfK2V6ANnKSvEXSA por medio de correos a los </w:t>
      </w:r>
      <w:r w:rsidRPr="0094623B">
        <w:rPr>
          <w:rFonts w:ascii="Georgia" w:hAnsi="Georgia" w:cs="Arial"/>
        </w:rPr>
        <w:lastRenderedPageBreak/>
        <w:t>docentes como también se pudo obtener el tabulado de forma automatizada y los resultados de las mismas.</w:t>
      </w:r>
    </w:p>
    <w:p w14:paraId="130F550A" w14:textId="3983ABE1" w:rsidR="00DC3240" w:rsidRPr="0094623B" w:rsidRDefault="00BE4E11" w:rsidP="00BE4E11">
      <w:pPr>
        <w:pStyle w:val="Prrafodelista"/>
        <w:numPr>
          <w:ilvl w:val="0"/>
          <w:numId w:val="5"/>
        </w:numPr>
        <w:autoSpaceDE w:val="0"/>
        <w:autoSpaceDN w:val="0"/>
        <w:adjustRightInd w:val="0"/>
        <w:spacing w:before="120" w:after="120"/>
        <w:ind w:left="1701" w:firstLine="0"/>
        <w:jc w:val="both"/>
        <w:rPr>
          <w:rFonts w:ascii="Georgia" w:hAnsi="Georgia" w:cs="Arial"/>
          <w:b/>
        </w:rPr>
      </w:pPr>
      <w:r w:rsidRPr="0094623B">
        <w:rPr>
          <w:rFonts w:ascii="Georgia" w:hAnsi="Georgia" w:cs="Arial"/>
          <w:b/>
        </w:rPr>
        <w:t>Resultados y discusión</w:t>
      </w:r>
    </w:p>
    <w:p w14:paraId="03555106"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Las TIC son una fuente inmensa de recursos que permiten a través de la informática generar espacios o herramientas que permitan animar el proceso de lectura. Así lo considera el autor cuando afirma</w:t>
      </w:r>
    </w:p>
    <w:p w14:paraId="7B11F797" w14:textId="77777777" w:rsidR="00B34EC1" w:rsidRPr="0094623B" w:rsidRDefault="00B34EC1" w:rsidP="00B34EC1">
      <w:pPr>
        <w:autoSpaceDE w:val="0"/>
        <w:autoSpaceDN w:val="0"/>
        <w:adjustRightInd w:val="0"/>
        <w:spacing w:before="120" w:after="120"/>
        <w:ind w:left="1701"/>
        <w:jc w:val="both"/>
        <w:rPr>
          <w:rFonts w:ascii="Georgia" w:hAnsi="Georgia" w:cs="Arial"/>
        </w:rPr>
      </w:pPr>
      <w:r w:rsidRPr="0094623B">
        <w:rPr>
          <w:rFonts w:ascii="Georgia" w:hAnsi="Georgia" w:cs="Arial"/>
        </w:rPr>
        <w:t xml:space="preserve">“Las actividades de animación a la lectura empiezan desde el aprendizaje de los primeros conceptos de lectoescrituras. Las imágenes, los cuentos, contribuyen a la metodología practicada en las aulas de clase. Los cuentos permiten introducir el centro de interés, el educador se apoya en la lectura de estos para hacer comprensión e interpretación para posibles elaboraciones de textos y lectura de </w:t>
      </w:r>
      <w:proofErr w:type="gramStart"/>
      <w:r w:rsidRPr="0094623B">
        <w:rPr>
          <w:rFonts w:ascii="Georgia" w:hAnsi="Georgia" w:cs="Arial"/>
        </w:rPr>
        <w:t>los mismos</w:t>
      </w:r>
      <w:proofErr w:type="gramEnd"/>
      <w:r w:rsidRPr="0094623B">
        <w:rPr>
          <w:rFonts w:ascii="Georgia" w:hAnsi="Georgia" w:cs="Arial"/>
        </w:rPr>
        <w:t xml:space="preserve">. Este tipo de actividades convierten las clases en un espacio donde los niños, cobran, mayor protagonismo de la actividad en el aula. Hay manipulación, construcción, comunicación y juego. En la Educación Primaria, los niveles de los lecto-escritores son ciertamente variados. En el Primer Ciclo aprenden a leer y escribir, y el tercero y último completan un proceso en el que pueden escuchar, hablar, leer y escribir con soltura. </w:t>
      </w:r>
    </w:p>
    <w:p w14:paraId="22750893" w14:textId="77777777" w:rsidR="00A51E9C" w:rsidRPr="0094623B" w:rsidRDefault="00B34EC1" w:rsidP="00B34EC1">
      <w:pPr>
        <w:autoSpaceDE w:val="0"/>
        <w:autoSpaceDN w:val="0"/>
        <w:adjustRightInd w:val="0"/>
        <w:spacing w:before="120" w:after="120"/>
        <w:ind w:left="1701"/>
        <w:jc w:val="both"/>
        <w:rPr>
          <w:rFonts w:ascii="Georgia" w:hAnsi="Georgia" w:cs="Arial"/>
          <w:i/>
          <w:iCs/>
        </w:rPr>
      </w:pPr>
      <w:r w:rsidRPr="0094623B">
        <w:rPr>
          <w:rFonts w:ascii="Georgia" w:hAnsi="Georgia" w:cs="Arial"/>
        </w:rPr>
        <w:t>Tabla</w:t>
      </w:r>
      <w:r w:rsidR="006D2F4F" w:rsidRPr="0094623B">
        <w:rPr>
          <w:rFonts w:ascii="Georgia" w:hAnsi="Georgia" w:cs="Arial"/>
        </w:rPr>
        <w:t xml:space="preserve"> 1</w:t>
      </w:r>
    </w:p>
    <w:p w14:paraId="77EB5F67" w14:textId="159C2646" w:rsidR="00B34EC1" w:rsidRPr="0094623B" w:rsidRDefault="00B34EC1" w:rsidP="00B34EC1">
      <w:pPr>
        <w:autoSpaceDE w:val="0"/>
        <w:autoSpaceDN w:val="0"/>
        <w:adjustRightInd w:val="0"/>
        <w:spacing w:before="120" w:after="120"/>
        <w:ind w:left="1701"/>
        <w:jc w:val="both"/>
        <w:rPr>
          <w:rFonts w:ascii="Georgia" w:hAnsi="Georgia" w:cs="Arial"/>
          <w:i/>
          <w:iCs/>
        </w:rPr>
      </w:pPr>
      <w:r w:rsidRPr="0094623B">
        <w:rPr>
          <w:rFonts w:ascii="Georgia" w:hAnsi="Georgia" w:cs="Arial"/>
          <w:i/>
          <w:iCs/>
        </w:rPr>
        <w:t xml:space="preserve"> Encuesta realizada a docentes</w:t>
      </w:r>
    </w:p>
    <w:p w14:paraId="35CA42FD" w14:textId="786C2D7E" w:rsidR="00BE4E11" w:rsidRPr="0094623B" w:rsidRDefault="00D26767" w:rsidP="00BE4E11">
      <w:pPr>
        <w:autoSpaceDE w:val="0"/>
        <w:autoSpaceDN w:val="0"/>
        <w:adjustRightInd w:val="0"/>
        <w:spacing w:before="120" w:after="120"/>
        <w:ind w:left="1701"/>
        <w:jc w:val="both"/>
        <w:rPr>
          <w:rFonts w:ascii="Georgia" w:hAnsi="Georgia" w:cs="Arial"/>
        </w:rPr>
      </w:pPr>
      <w:r w:rsidRPr="0094623B">
        <w:rPr>
          <w:rFonts w:ascii="Georgia" w:hAnsi="Georgia"/>
          <w:noProof/>
        </w:rPr>
        <w:drawing>
          <wp:inline distT="0" distB="0" distL="0" distR="0" wp14:anchorId="5A8987D3" wp14:editId="2D952463">
            <wp:extent cx="4787265" cy="2314575"/>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7613" cy="2319578"/>
                    </a:xfrm>
                    <a:prstGeom prst="rect">
                      <a:avLst/>
                    </a:prstGeom>
                    <a:noFill/>
                    <a:ln>
                      <a:noFill/>
                    </a:ln>
                  </pic:spPr>
                </pic:pic>
              </a:graphicData>
            </a:graphic>
          </wp:inline>
        </w:drawing>
      </w:r>
    </w:p>
    <w:p w14:paraId="691A44CA" w14:textId="2FCDE9B4" w:rsidR="00D26767" w:rsidRPr="0094623B" w:rsidRDefault="00D26767" w:rsidP="00BE4E11">
      <w:pPr>
        <w:autoSpaceDE w:val="0"/>
        <w:autoSpaceDN w:val="0"/>
        <w:adjustRightInd w:val="0"/>
        <w:spacing w:before="120" w:after="120"/>
        <w:ind w:left="1701"/>
        <w:jc w:val="both"/>
        <w:rPr>
          <w:rFonts w:ascii="Georgia" w:hAnsi="Georgia" w:cs="Arial"/>
        </w:rPr>
      </w:pPr>
    </w:p>
    <w:p w14:paraId="08DCBFFD" w14:textId="763C1ED7" w:rsidR="00D26767"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cs="Arial"/>
        </w:rPr>
        <w:t xml:space="preserve">El material de lectura digital puede ser pensado como un material o recurso de aprendizaje que se diseña y desarrolla con una lógica y estructura diferente al material utilizado en el aula hasta el momento, ya que permite la integración de elementos como imágenes, sonidos, </w:t>
      </w:r>
      <w:r w:rsidRPr="0094623B">
        <w:rPr>
          <w:rFonts w:ascii="Georgia" w:hAnsi="Georgia" w:cs="Arial"/>
        </w:rPr>
        <w:lastRenderedPageBreak/>
        <w:t xml:space="preserve">videos, etc. y texto, en el proceso educativo lograr la máxima conectividad e interactividad entre los participantes. El uso de materiales de lectura digital estimulará y mejorará la comprensión lectora de los estudiantes de la Unidad Educativa Daule, lo que requiere la selección y diseño de textos de lectura digital y la producción de </w:t>
      </w:r>
      <w:proofErr w:type="spellStart"/>
      <w:r w:rsidRPr="0094623B">
        <w:rPr>
          <w:rFonts w:ascii="Georgia" w:hAnsi="Georgia" w:cs="Arial"/>
        </w:rPr>
        <w:t>CDs</w:t>
      </w:r>
      <w:proofErr w:type="spellEnd"/>
      <w:r w:rsidRPr="0094623B">
        <w:rPr>
          <w:rFonts w:ascii="Georgia" w:hAnsi="Georgia" w:cs="Arial"/>
        </w:rPr>
        <w:t xml:space="preserve"> o grabaciones de </w:t>
      </w:r>
      <w:r w:rsidR="006D2F4F" w:rsidRPr="0094623B">
        <w:rPr>
          <w:rFonts w:ascii="Georgia" w:hAnsi="Georgia" w:cs="Arial"/>
        </w:rPr>
        <w:t>audio programa</w:t>
      </w:r>
      <w:r w:rsidRPr="0094623B">
        <w:rPr>
          <w:rFonts w:ascii="Georgia" w:hAnsi="Georgia" w:cs="Arial"/>
        </w:rPr>
        <w:t xml:space="preserve"> de computadora.</w:t>
      </w:r>
    </w:p>
    <w:p w14:paraId="17BE014A" w14:textId="77777777" w:rsidR="00D26767"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cs="Arial"/>
        </w:rPr>
        <w:t xml:space="preserve">Continuar usando los mismos estándares del método tradicional en la enseñanza de la lectura conducirá a un retraso en la educación de nuestros ciudadanos y, por lo tanto, a un lento desarrollo social y económico del país, por lo que se cree que es hora de investigar y probar nuevas formas y estrategias de aprendizaje que promuevan el pensamiento, la creatividad. desarrollo, especialmente la comprensión y gestión del conocimiento científico y la cultura en los archivos. Como se puede evidenciar en el cuadro I que el 80% de los docentes cuenta con material digital para el proceso de lectura y el 100% manifiesta que la unidad educativa si cuenta con computadoras para la utilización de lectura digital es por ello </w:t>
      </w:r>
      <w:proofErr w:type="gramStart"/>
      <w:r w:rsidRPr="0094623B">
        <w:rPr>
          <w:rFonts w:ascii="Georgia" w:hAnsi="Georgia" w:cs="Arial"/>
        </w:rPr>
        <w:t>que</w:t>
      </w:r>
      <w:proofErr w:type="gramEnd"/>
      <w:r w:rsidRPr="0094623B">
        <w:rPr>
          <w:rFonts w:ascii="Georgia" w:hAnsi="Georgia" w:cs="Arial"/>
        </w:rPr>
        <w:t xml:space="preserve"> se pretende utilizar la plataforma Wix como herramienta digital en el proceso de lectura.</w:t>
      </w:r>
    </w:p>
    <w:p w14:paraId="6F442615" w14:textId="77777777" w:rsidR="00D26767"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cs="Arial"/>
        </w:rPr>
        <w:t>El proyecto comienza con el problema evidente de los estudiantes que leen pocas sílabas, tienen problemas para concentrarse, olvidan rápidamente las lecciones de los profesores y tienen algo de timidez y miedo a ser rechazados por sus compañeros por ser demasiado mayor. Todos estos problemas se reflejan en los resultados de las pruebas externas. Para ello se pretende utilizar herramientas digitales que facilitarán en gran medida el aprendizaje colaborativo y la motivación de cada alumno de esta unidad educativa.</w:t>
      </w:r>
    </w:p>
    <w:p w14:paraId="0C47E071" w14:textId="77777777" w:rsidR="00A51E9C"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cs="Arial"/>
        </w:rPr>
        <w:t>Tabla</w:t>
      </w:r>
      <w:r w:rsidR="00E04ACE" w:rsidRPr="0094623B">
        <w:rPr>
          <w:rFonts w:ascii="Georgia" w:hAnsi="Georgia" w:cs="Arial"/>
        </w:rPr>
        <w:t xml:space="preserve"> </w:t>
      </w:r>
      <w:r w:rsidR="006D2F4F" w:rsidRPr="0094623B">
        <w:rPr>
          <w:rFonts w:ascii="Georgia" w:hAnsi="Georgia" w:cs="Arial"/>
        </w:rPr>
        <w:t>2</w:t>
      </w:r>
    </w:p>
    <w:p w14:paraId="098B5C96" w14:textId="3C7A0872" w:rsidR="00D26767" w:rsidRPr="0094623B" w:rsidRDefault="00D26767" w:rsidP="00D26767">
      <w:pPr>
        <w:autoSpaceDE w:val="0"/>
        <w:autoSpaceDN w:val="0"/>
        <w:adjustRightInd w:val="0"/>
        <w:spacing w:before="120" w:after="120"/>
        <w:ind w:left="1701"/>
        <w:jc w:val="both"/>
        <w:rPr>
          <w:rFonts w:ascii="Georgia" w:hAnsi="Georgia" w:cs="Arial"/>
          <w:i/>
          <w:iCs/>
        </w:rPr>
      </w:pPr>
      <w:r w:rsidRPr="0094623B">
        <w:rPr>
          <w:rFonts w:ascii="Georgia" w:hAnsi="Georgia" w:cs="Arial"/>
          <w:i/>
          <w:iCs/>
        </w:rPr>
        <w:t>Comparación de plataformas digitales</w:t>
      </w:r>
    </w:p>
    <w:p w14:paraId="4A076CD2" w14:textId="78206DCB" w:rsidR="00D26767"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cs="Arial"/>
          <w:noProof/>
        </w:rPr>
        <w:drawing>
          <wp:inline distT="0" distB="0" distL="0" distR="0" wp14:anchorId="027D7687" wp14:editId="5E04BC7E">
            <wp:extent cx="4644390" cy="1914525"/>
            <wp:effectExtent l="0" t="0" r="3810"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9029" cy="1928804"/>
                    </a:xfrm>
                    <a:prstGeom prst="rect">
                      <a:avLst/>
                    </a:prstGeom>
                    <a:noFill/>
                  </pic:spPr>
                </pic:pic>
              </a:graphicData>
            </a:graphic>
          </wp:inline>
        </w:drawing>
      </w:r>
    </w:p>
    <w:p w14:paraId="67A5A593" w14:textId="77777777" w:rsidR="00D26767"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cs="Arial"/>
        </w:rPr>
        <w:lastRenderedPageBreak/>
        <w:t xml:space="preserve">El gusto por la lectura, fuente de entretenimiento, una propuesta para el desarrollo de la competencia lectora en los estudiantes de la Unidad Educativa </w:t>
      </w:r>
      <w:proofErr w:type="gramStart"/>
      <w:r w:rsidRPr="0094623B">
        <w:rPr>
          <w:rFonts w:ascii="Georgia" w:hAnsi="Georgia" w:cs="Arial"/>
        </w:rPr>
        <w:t>Daule,</w:t>
      </w:r>
      <w:proofErr w:type="gramEnd"/>
      <w:r w:rsidRPr="0094623B">
        <w:rPr>
          <w:rFonts w:ascii="Georgia" w:hAnsi="Georgia" w:cs="Arial"/>
        </w:rPr>
        <w:t xml:space="preserve"> es una herramienta para facilitar el aprendizaje de los estudiantes de manera significativa y creativa. Es por ello que, el uso de la plataforma Wix es importante para potenciar la motivación por la lectura en niños y niñas, es una herramienta técnica fundamental para el desarrollo lector y potenciar la instrucción, además aporta un valor añadido a través de la interacción de contenido textual a la edad del alumno con el fin de adquirir conocimientos en la interacción con estas nuevas herramientas, que sin duda pueden convertirse en la base de los estudiantes a nivel escolar si se utilizan adecuadamente. (Fernández &amp; Guzmán, 2021)</w:t>
      </w:r>
    </w:p>
    <w:p w14:paraId="58CDDB4E" w14:textId="23F63580" w:rsidR="00D26767"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cs="Arial"/>
        </w:rPr>
        <w:t xml:space="preserve">No cabe duda </w:t>
      </w:r>
      <w:proofErr w:type="gramStart"/>
      <w:r w:rsidR="00A51E9C" w:rsidRPr="0094623B">
        <w:rPr>
          <w:rFonts w:ascii="Georgia" w:hAnsi="Georgia" w:cs="Arial"/>
        </w:rPr>
        <w:t>que</w:t>
      </w:r>
      <w:proofErr w:type="gramEnd"/>
      <w:r w:rsidRPr="0094623B">
        <w:rPr>
          <w:rFonts w:ascii="Georgia" w:hAnsi="Georgia" w:cs="Arial"/>
        </w:rPr>
        <w:t xml:space="preserve"> el concepto de TIC es más importante en el campo de la educación, enseñanza-aprendizaje, se utiliza como herramienta para los resultados educativos efectivos desarrollados en este trabajo de investigación, además permite que las personas utilicen las herramientas que brinda para todos y adaptarse rápidamente al uso necesario. Con la formulación de esta propuesta se tiene previsto utilizar herramientas multimedia como </w:t>
      </w:r>
      <w:proofErr w:type="spellStart"/>
      <w:r w:rsidRPr="0094623B">
        <w:rPr>
          <w:rFonts w:ascii="Georgia" w:hAnsi="Georgia" w:cs="Arial"/>
        </w:rPr>
        <w:t>wix</w:t>
      </w:r>
      <w:proofErr w:type="spellEnd"/>
      <w:r w:rsidRPr="0094623B">
        <w:rPr>
          <w:rFonts w:ascii="Georgia" w:hAnsi="Georgia" w:cs="Arial"/>
        </w:rPr>
        <w:t xml:space="preserve"> web, los estudiantes tendrán la oportunidad de desarrollar de manera interactiva actividades tales como; sopa de letras, ver videos de cuentos y su comprensión, mirar imágenes y describirlas, leer cuentos infantiles a través de la biblioteca virtual, todas estas actividades contribuirán al entretenimiento de la lectura</w:t>
      </w:r>
    </w:p>
    <w:p w14:paraId="6C63368B" w14:textId="77777777" w:rsidR="00D26767"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cs="Arial"/>
        </w:rPr>
        <w:t>Teniendo en cuenta el enfoque de investigación acción participativa, se estructuran las siguientes estrategias y actividades en línea con los objetivos planteados en el proyecto:</w:t>
      </w:r>
    </w:p>
    <w:p w14:paraId="60B31922" w14:textId="77777777" w:rsidR="00A51E9C" w:rsidRPr="0094623B" w:rsidRDefault="00A51E9C" w:rsidP="00D26767">
      <w:pPr>
        <w:autoSpaceDE w:val="0"/>
        <w:autoSpaceDN w:val="0"/>
        <w:adjustRightInd w:val="0"/>
        <w:spacing w:before="120" w:after="120"/>
        <w:ind w:left="1701"/>
        <w:jc w:val="both"/>
        <w:rPr>
          <w:rFonts w:ascii="Georgia" w:hAnsi="Georgia" w:cs="Arial"/>
        </w:rPr>
      </w:pPr>
    </w:p>
    <w:p w14:paraId="445A8041" w14:textId="489A40C1" w:rsidR="00A51E9C" w:rsidRPr="0094623B" w:rsidRDefault="00D26767" w:rsidP="00D26767">
      <w:pPr>
        <w:autoSpaceDE w:val="0"/>
        <w:autoSpaceDN w:val="0"/>
        <w:adjustRightInd w:val="0"/>
        <w:spacing w:before="120" w:after="120"/>
        <w:ind w:left="1701"/>
        <w:jc w:val="both"/>
        <w:rPr>
          <w:rFonts w:ascii="Georgia" w:hAnsi="Georgia" w:cs="Arial"/>
          <w:i/>
          <w:iCs/>
        </w:rPr>
      </w:pPr>
      <w:r w:rsidRPr="0094623B">
        <w:rPr>
          <w:rFonts w:ascii="Georgia" w:hAnsi="Georgia" w:cs="Arial"/>
        </w:rPr>
        <w:t xml:space="preserve">Tabla </w:t>
      </w:r>
      <w:r w:rsidR="00E04ACE" w:rsidRPr="0094623B">
        <w:rPr>
          <w:rFonts w:ascii="Georgia" w:hAnsi="Georgia" w:cs="Arial"/>
        </w:rPr>
        <w:t>3</w:t>
      </w:r>
    </w:p>
    <w:p w14:paraId="3D65D3F8" w14:textId="5EF72623" w:rsidR="00D26767" w:rsidRPr="0094623B" w:rsidRDefault="00D26767" w:rsidP="00D26767">
      <w:pPr>
        <w:autoSpaceDE w:val="0"/>
        <w:autoSpaceDN w:val="0"/>
        <w:adjustRightInd w:val="0"/>
        <w:spacing w:before="120" w:after="120"/>
        <w:ind w:left="1701"/>
        <w:jc w:val="both"/>
        <w:rPr>
          <w:rFonts w:ascii="Georgia" w:hAnsi="Georgia" w:cs="Arial"/>
          <w:i/>
          <w:iCs/>
        </w:rPr>
      </w:pPr>
      <w:r w:rsidRPr="0094623B">
        <w:rPr>
          <w:rFonts w:ascii="Georgia" w:hAnsi="Georgia" w:cs="Arial"/>
          <w:i/>
          <w:iCs/>
        </w:rPr>
        <w:t xml:space="preserve">Plan estratégico  </w:t>
      </w:r>
    </w:p>
    <w:p w14:paraId="3908932B" w14:textId="6CDF8876" w:rsidR="00D26767"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noProof/>
        </w:rPr>
        <w:lastRenderedPageBreak/>
        <w:drawing>
          <wp:inline distT="0" distB="0" distL="0" distR="0" wp14:anchorId="65EC766A" wp14:editId="0EF3E0A8">
            <wp:extent cx="4645207" cy="4019550"/>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r="31141"/>
                    <a:stretch/>
                  </pic:blipFill>
                  <pic:spPr bwMode="auto">
                    <a:xfrm>
                      <a:off x="0" y="0"/>
                      <a:ext cx="4720371" cy="4084590"/>
                    </a:xfrm>
                    <a:prstGeom prst="rect">
                      <a:avLst/>
                    </a:prstGeom>
                    <a:noFill/>
                    <a:ln>
                      <a:noFill/>
                    </a:ln>
                    <a:extLst>
                      <a:ext uri="{53640926-AAD7-44D8-BBD7-CCE9431645EC}">
                        <a14:shadowObscured xmlns:a14="http://schemas.microsoft.com/office/drawing/2010/main"/>
                      </a:ext>
                    </a:extLst>
                  </pic:spPr>
                </pic:pic>
              </a:graphicData>
            </a:graphic>
          </wp:inline>
        </w:drawing>
      </w:r>
    </w:p>
    <w:p w14:paraId="187E28AB" w14:textId="77777777" w:rsidR="00D26767"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cs="Arial"/>
        </w:rPr>
        <w:t>En la actualidad se necesita que las unidades educativas utilicen un proceso educativo cada vez más reflexivo que ayude a alentar a los estudiantes de cualquier condición social a participar en entornos de aprendizaje importantes que les brinden las mismas oportunidades para triunfar en el mundo en el que viven. Por lo tanto, la sociedad proporciona a los estudiantes una gran cantidad de información a través de las TIC como herramienta de aprendizaje para mejorar las habilidades de lectura y ayudar a resolver parcialmente los problemas que se presentan, siempre que sea importante con el apoyo de los padres.</w:t>
      </w:r>
    </w:p>
    <w:p w14:paraId="3AEAF3B9" w14:textId="77777777" w:rsidR="00D26767"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cs="Arial"/>
        </w:rPr>
        <w:t xml:space="preserve"> Por lo tanto, existe una necesidad urgente de repensar estrategias (sugerencias) sobre cómo mejorar la lectura, utilizando las nuevas tecnologías para ayudar a abordar la dislexia en algunos de los procesos cognitivos involucrados en el comportamiento lector.</w:t>
      </w:r>
    </w:p>
    <w:p w14:paraId="152F4571" w14:textId="6294E49C" w:rsidR="00D26767" w:rsidRPr="0094623B" w:rsidRDefault="00D26767" w:rsidP="00D26767">
      <w:pPr>
        <w:autoSpaceDE w:val="0"/>
        <w:autoSpaceDN w:val="0"/>
        <w:adjustRightInd w:val="0"/>
        <w:spacing w:before="120" w:after="120"/>
        <w:ind w:left="1701"/>
        <w:jc w:val="both"/>
        <w:rPr>
          <w:rFonts w:ascii="Georgia" w:hAnsi="Georgia" w:cs="Arial"/>
        </w:rPr>
      </w:pPr>
      <w:r w:rsidRPr="0094623B">
        <w:rPr>
          <w:rFonts w:ascii="Georgia" w:hAnsi="Georgia" w:cs="Arial"/>
        </w:rPr>
        <w:t xml:space="preserve">La propuesta es muy importante para la Unidad Educativa Daule, ya que los aportes teóricos y prácticos pueden servir como elementos para el avance de la tecnología relacionada con la enseñanza y el aprendizaje significativo. Un contexto, porque al leer un niño puede </w:t>
      </w:r>
      <w:r w:rsidRPr="0094623B">
        <w:rPr>
          <w:rFonts w:ascii="Georgia" w:hAnsi="Georgia" w:cs="Arial"/>
        </w:rPr>
        <w:lastRenderedPageBreak/>
        <w:t>actualizar sus conocimientos previos al enfrentarse a situaciones que lo llevan a hacerse nuevas preguntas y buscar información de diferentes fuentes para aprender a hacer cosas.</w:t>
      </w:r>
    </w:p>
    <w:p w14:paraId="5755EFEC" w14:textId="6153649E" w:rsidR="00714AEB" w:rsidRPr="0094623B" w:rsidRDefault="00BE4E11" w:rsidP="00BE4E11">
      <w:pPr>
        <w:pStyle w:val="Prrafodelista"/>
        <w:numPr>
          <w:ilvl w:val="0"/>
          <w:numId w:val="5"/>
        </w:numPr>
        <w:autoSpaceDE w:val="0"/>
        <w:autoSpaceDN w:val="0"/>
        <w:adjustRightInd w:val="0"/>
        <w:spacing w:before="120" w:after="120"/>
        <w:ind w:left="1701" w:firstLine="0"/>
        <w:jc w:val="both"/>
        <w:rPr>
          <w:rFonts w:ascii="Georgia" w:hAnsi="Georgia" w:cs="Arial"/>
          <w:b/>
        </w:rPr>
      </w:pPr>
      <w:r w:rsidRPr="0094623B">
        <w:rPr>
          <w:rFonts w:ascii="Georgia" w:hAnsi="Georgia" w:cs="Arial"/>
          <w:b/>
        </w:rPr>
        <w:t>Conclusiones</w:t>
      </w:r>
    </w:p>
    <w:p w14:paraId="6424FE0C" w14:textId="77777777" w:rsidR="00D26767" w:rsidRPr="0094623B" w:rsidRDefault="00D26767" w:rsidP="00D26767">
      <w:pPr>
        <w:spacing w:before="120" w:after="120"/>
        <w:ind w:left="1701"/>
        <w:jc w:val="both"/>
        <w:rPr>
          <w:rFonts w:ascii="Georgia" w:hAnsi="Georgia" w:cs="Arial"/>
        </w:rPr>
      </w:pPr>
      <w:r w:rsidRPr="0094623B">
        <w:rPr>
          <w:rFonts w:ascii="Georgia" w:hAnsi="Georgia" w:cs="Arial"/>
        </w:rPr>
        <w:t xml:space="preserve">En primer lugar, la observación y la recopilación de datos sirvieron para determinar el proceso de aprendizaje de la lectura y la falta de uso de herramientas tecnológicas en el aula, dando a conocer que la institución cuenta con los equipos electrónicos necesarios para facilitar el aprendizaje. Cabe mencionar que el salón de clases es un ambiente en el que </w:t>
      </w:r>
      <w:proofErr w:type="gramStart"/>
      <w:r w:rsidRPr="0094623B">
        <w:rPr>
          <w:rFonts w:ascii="Georgia" w:hAnsi="Georgia" w:cs="Arial"/>
        </w:rPr>
        <w:t>los niños y niñas</w:t>
      </w:r>
      <w:proofErr w:type="gramEnd"/>
      <w:r w:rsidRPr="0094623B">
        <w:rPr>
          <w:rFonts w:ascii="Georgia" w:hAnsi="Georgia" w:cs="Arial"/>
        </w:rPr>
        <w:t xml:space="preserve"> tienden a desarrollar todas sus habilidades y destrezas, lo que les permite tener un buen desarrollo integral. Por lo tanto, los docentes tienen la tarea de implementar nuevas estrategias mientras aprovechan los recursos tecnológicos disponibles en la institución para crear nuevos espacios interactivos que faciliten el proceso de enseñanza.</w:t>
      </w:r>
    </w:p>
    <w:p w14:paraId="7A32F44A" w14:textId="77777777" w:rsidR="00D26767" w:rsidRPr="0094623B" w:rsidRDefault="00D26767" w:rsidP="00D26767">
      <w:pPr>
        <w:spacing w:before="120" w:after="120"/>
        <w:ind w:left="1701"/>
        <w:jc w:val="both"/>
        <w:rPr>
          <w:rFonts w:ascii="Georgia" w:hAnsi="Georgia" w:cs="Arial"/>
        </w:rPr>
      </w:pPr>
      <w:r w:rsidRPr="0094623B">
        <w:rPr>
          <w:rFonts w:ascii="Georgia" w:hAnsi="Georgia" w:cs="Arial"/>
        </w:rPr>
        <w:t xml:space="preserve">El diseño de nuevas estrategias didácticas por medio de la aplicación digital Wix es una herramienta útil para potenciar la lectura con contenidos temáticos infantiles, con ilustraciones alusivas a la temática propuesta, que ayudarán a despertar el interés, la curiosidad y la motivación, ya que el uso actual de la tecnología </w:t>
      </w:r>
      <w:proofErr w:type="spellStart"/>
      <w:r w:rsidRPr="0094623B">
        <w:rPr>
          <w:rFonts w:ascii="Georgia" w:hAnsi="Georgia" w:cs="Arial"/>
        </w:rPr>
        <w:t>esta</w:t>
      </w:r>
      <w:proofErr w:type="spellEnd"/>
      <w:r w:rsidRPr="0094623B">
        <w:rPr>
          <w:rFonts w:ascii="Georgia" w:hAnsi="Georgia" w:cs="Arial"/>
        </w:rPr>
        <w:t xml:space="preserve"> constantemente cambiando, tanto es así que los docentes deben encontrar la manera de implementar nuevas estrategias que ayuden a crear escenarios interactivos que promuevan el aprendizaje. Es importante destacar que esto a su vez contribuye a la construcción de nuevos conocimientos.</w:t>
      </w:r>
    </w:p>
    <w:p w14:paraId="77F4463C" w14:textId="3D6B59C2" w:rsidR="00D26767" w:rsidRPr="0094623B" w:rsidRDefault="00D26767" w:rsidP="00D26767">
      <w:pPr>
        <w:spacing w:before="120" w:after="120"/>
        <w:ind w:left="1701"/>
        <w:jc w:val="both"/>
        <w:rPr>
          <w:rFonts w:ascii="Georgia" w:hAnsi="Georgia" w:cs="Arial"/>
        </w:rPr>
      </w:pPr>
      <w:r w:rsidRPr="0094623B">
        <w:rPr>
          <w:rFonts w:ascii="Georgia" w:hAnsi="Georgia" w:cs="Arial"/>
        </w:rPr>
        <w:t xml:space="preserve">Las herramientas WEB WIX crean espacios de comunicación e invitan a los usuarios a participar, por lo que es </w:t>
      </w:r>
      <w:r w:rsidR="004F6A11" w:rsidRPr="0094623B">
        <w:rPr>
          <w:rFonts w:ascii="Georgia" w:hAnsi="Georgia" w:cs="Arial"/>
        </w:rPr>
        <w:t>una herramienta</w:t>
      </w:r>
      <w:r w:rsidRPr="0094623B">
        <w:rPr>
          <w:rFonts w:ascii="Georgia" w:hAnsi="Georgia" w:cs="Arial"/>
        </w:rPr>
        <w:t xml:space="preserve"> que ayuden a mejorar el proceso de lectura. Fomenta el desarrollo de la colaboración, la interacción y el respeto por las opiniones de los demás, que es una de las características de Wix. En el marco del modelo constructivista, el uso pedagógico de dicha herramienta se destaca por su contribución a la construcción colaborativa y vital del conocimiento, así como por el desarrollo de habilidades sociales cognitivas, lingüísticas y numéricas fundamentales y necesarias para la ejecución efectiva en la sociedad de la información y conocimiento futuros.</w:t>
      </w:r>
    </w:p>
    <w:p w14:paraId="2EC75230" w14:textId="1EF35443" w:rsidR="004B2A07" w:rsidRPr="0094623B" w:rsidRDefault="00BE4E11" w:rsidP="00D26767">
      <w:pPr>
        <w:spacing w:before="120" w:after="120"/>
        <w:ind w:left="1701"/>
        <w:jc w:val="both"/>
        <w:rPr>
          <w:rFonts w:ascii="Georgia" w:hAnsi="Georgia" w:cs="Arial"/>
          <w:b/>
        </w:rPr>
      </w:pPr>
      <w:r w:rsidRPr="0094623B">
        <w:rPr>
          <w:rFonts w:ascii="Georgia" w:hAnsi="Georgia" w:cs="Arial"/>
          <w:b/>
        </w:rPr>
        <w:t>Referencias</w:t>
      </w:r>
    </w:p>
    <w:sdt>
      <w:sdtPr>
        <w:rPr>
          <w:rFonts w:ascii="Georgia" w:hAnsi="Georgia"/>
          <w:lang w:eastAsia="es-ES_tradnl"/>
        </w:rPr>
        <w:id w:val="1980115962"/>
        <w:bibliography/>
      </w:sdtPr>
      <w:sdtEndPr>
        <w:rPr>
          <w:lang w:eastAsia="es-MX"/>
        </w:rPr>
      </w:sdtEndPr>
      <w:sdtContent>
        <w:p w14:paraId="2A1640AF"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Colomer, T. (2012). Introducción a la literatura infantil y juvenil actual. Madrid: Síntesis.</w:t>
          </w:r>
        </w:p>
        <w:p w14:paraId="32BC3E0F"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lastRenderedPageBreak/>
            <w:t>Díaz, F., &amp; Hernández, G. (2000). Estrategias docentes para un aprendizaje significativo. Una interpretación constructiva. Colombia: McGraw-Hill.</w:t>
          </w:r>
        </w:p>
        <w:p w14:paraId="7AA5A009"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 xml:space="preserve">Ecuador. Ministerio de Educación. (2017). Educación. </w:t>
          </w:r>
          <w:proofErr w:type="spellStart"/>
          <w:r w:rsidRPr="0094623B">
            <w:rPr>
              <w:rFonts w:ascii="Georgia" w:hAnsi="Georgia"/>
              <w:lang w:eastAsia="es-ES_tradnl"/>
            </w:rPr>
            <w:t>Pro-yecto</w:t>
          </w:r>
          <w:proofErr w:type="spellEnd"/>
          <w:r w:rsidRPr="0094623B">
            <w:rPr>
              <w:rFonts w:ascii="Georgia" w:hAnsi="Georgia"/>
              <w:lang w:eastAsia="es-ES_tradnl"/>
            </w:rPr>
            <w:t xml:space="preserve"> Fortalecimiento Sistema Educación Intercultural Bilingüe. MINEDUC. Obtenido de https://educacion.gob.ec/wp-content/uploads/downloads/2017/06/Proyecto-Fortalecimiento-Siste-ma-Educacion-Intercultural-Bilingue.pdf</w:t>
          </w:r>
        </w:p>
        <w:p w14:paraId="3EF96A43"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Fernández, S., &amp; Guzmán, M. (2021). Diseño y uso pedagógico de una página web en WIX para el fortalecimiento de las habilidades de lectura crítica a los estudiantes del grado séptimo I de la institución educativa El Carmen. Universidad de Cartagena.</w:t>
          </w:r>
        </w:p>
        <w:p w14:paraId="016E62E3"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 xml:space="preserve">Guerrero, B., Perea, A., Colina, A., </w:t>
          </w:r>
          <w:proofErr w:type="spellStart"/>
          <w:r w:rsidRPr="0094623B">
            <w:rPr>
              <w:rFonts w:ascii="Georgia" w:hAnsi="Georgia"/>
              <w:lang w:eastAsia="es-ES_tradnl"/>
            </w:rPr>
            <w:t>Carrilo</w:t>
          </w:r>
          <w:proofErr w:type="spellEnd"/>
          <w:r w:rsidRPr="0094623B">
            <w:rPr>
              <w:rFonts w:ascii="Georgia" w:hAnsi="Georgia"/>
              <w:lang w:eastAsia="es-ES_tradnl"/>
            </w:rPr>
            <w:t>, D., Meriño, D., Bolaño, D., &amp; Duran, Y. (2018). Lectura y escritura a través de la investigación como estrategia pedagógica apoyada en las TIC. Cultura Educación y Sociedad.</w:t>
          </w:r>
        </w:p>
        <w:p w14:paraId="02D44A14"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Huizar, M., &amp; De la Torre, Y. (2020). Aprendizaje autorregulado: las tecnologías de información y comunicación (tic) y la lectura en la educación superior. Red de Investigación Educativa, 12(2), 31-45.</w:t>
          </w:r>
        </w:p>
        <w:p w14:paraId="252A89CE"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Kohan, S. (2006). Taller de lectura: el método. Barcelona: ALBA editorial.</w:t>
          </w:r>
        </w:p>
        <w:p w14:paraId="6BF56D13"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 xml:space="preserve">Medina, E., Martínez, G., Colpas, I, López, K., Villafaña, L., . . . Rodríguez, Y. (2018). Lectura y escritura mediante investigación como estrategia pedagógica apoyada en TIC. Cultura Educación y Sociedad. </w:t>
          </w:r>
        </w:p>
        <w:p w14:paraId="41665D2A"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Ministerio de Educación. (2017). Enfoque de la Agenda Educativa Digital. Quito. Obtenido de www.educacion.gob.ec</w:t>
          </w:r>
        </w:p>
        <w:p w14:paraId="0F10DBAB"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 xml:space="preserve">Noguera, F. (2009). La Enseñanza de la Lectura y la Escritura. Grupo Editorial Universitario. </w:t>
          </w:r>
        </w:p>
        <w:p w14:paraId="14C7E692"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Ortiz, M., &amp; Parra, A. (2006). La enseñanza y el aprendizaje de la escritura durante la alfabetización inicial</w:t>
          </w:r>
          <w:proofErr w:type="gramStart"/>
          <w:r w:rsidRPr="0094623B">
            <w:rPr>
              <w:rFonts w:ascii="Georgia" w:hAnsi="Georgia"/>
              <w:lang w:eastAsia="es-ES_tradnl"/>
            </w:rPr>
            <w:t>. .</w:t>
          </w:r>
          <w:proofErr w:type="gramEnd"/>
          <w:r w:rsidRPr="0094623B">
            <w:rPr>
              <w:rFonts w:ascii="Georgia" w:hAnsi="Georgia"/>
              <w:lang w:eastAsia="es-ES_tradnl"/>
            </w:rPr>
            <w:t xml:space="preserve"> Revista de Artes y Humanidades UNICA.</w:t>
          </w:r>
        </w:p>
        <w:p w14:paraId="53E53266"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 xml:space="preserve">Palomino, M. (2018). Aprendizaje centrado en la animación de la lectura y estrategias de lectura interactiva para mejorar la comprensión de lectura en niños del primer año de secundaria </w:t>
          </w:r>
          <w:r w:rsidRPr="0094623B">
            <w:rPr>
              <w:rFonts w:ascii="Georgia" w:hAnsi="Georgia"/>
              <w:lang w:eastAsia="es-ES_tradnl"/>
            </w:rPr>
            <w:lastRenderedPageBreak/>
            <w:t xml:space="preserve">de la Institución Educativa Los </w:t>
          </w:r>
          <w:proofErr w:type="spellStart"/>
          <w:r w:rsidRPr="0094623B">
            <w:rPr>
              <w:rFonts w:ascii="Georgia" w:hAnsi="Georgia"/>
              <w:lang w:eastAsia="es-ES_tradnl"/>
            </w:rPr>
            <w:t>Morochucos</w:t>
          </w:r>
          <w:proofErr w:type="spellEnd"/>
          <w:r w:rsidRPr="0094623B">
            <w:rPr>
              <w:rFonts w:ascii="Georgia" w:hAnsi="Georgia"/>
              <w:lang w:eastAsia="es-ES_tradnl"/>
            </w:rPr>
            <w:t xml:space="preserve"> de Pampacangallo-2017. Obtenido de https://repositorio.une.edu.pe/handle/20.500.14039/1861</w:t>
          </w:r>
        </w:p>
        <w:p w14:paraId="1ACB5836"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Parra, K. (2010). El docente de aula y el uso de la mediación en los procesos de enseñanza y aprendizaje. Investigación y Postgrado. Obtenido de http://revistas.upel.edu.ve/index.php/revinpost/article/view/1357/531</w:t>
          </w:r>
        </w:p>
        <w:p w14:paraId="0603CB57"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Pinares, M. (2018). Autoeficacia computacional y uso académico de TIC en estudiantes universitarios. PUCP.</w:t>
          </w:r>
        </w:p>
        <w:p w14:paraId="5A9C732A" w14:textId="77777777" w:rsidR="00D26767" w:rsidRPr="0094623B" w:rsidRDefault="00D26767" w:rsidP="00D26767">
          <w:pPr>
            <w:pStyle w:val="Bibliografa"/>
            <w:spacing w:line="276" w:lineRule="auto"/>
            <w:ind w:left="2410" w:right="-4" w:hanging="720"/>
            <w:jc w:val="both"/>
            <w:rPr>
              <w:rFonts w:ascii="Georgia" w:hAnsi="Georgia"/>
              <w:lang w:eastAsia="es-ES_tradnl"/>
            </w:rPr>
          </w:pPr>
          <w:proofErr w:type="spellStart"/>
          <w:r w:rsidRPr="0094623B">
            <w:rPr>
              <w:rFonts w:ascii="Georgia" w:hAnsi="Georgia"/>
              <w:lang w:eastAsia="es-ES_tradnl"/>
            </w:rPr>
            <w:t>Rappoport</w:t>
          </w:r>
          <w:proofErr w:type="spellEnd"/>
          <w:r w:rsidRPr="0094623B">
            <w:rPr>
              <w:rFonts w:ascii="Georgia" w:hAnsi="Georgia"/>
              <w:lang w:eastAsia="es-ES_tradnl"/>
            </w:rPr>
            <w:t>, S. (2019). Relación escuela-sociedad en la era de las TIC: una necesaria redefinición. Revista Educación, Política y Sociedad, 136-151.</w:t>
          </w:r>
        </w:p>
        <w:p w14:paraId="3EFAF2B1"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Rodríguez, A., Rodríguez, F., Molina, K., &amp; Montero, D. (2018). Enseñanza y animación de la lectura: prácticas escolares y actividades de un colectivo civil en un entorno rural. Universidad Ciencia y Tecnología.</w:t>
          </w:r>
        </w:p>
        <w:p w14:paraId="3C3D4160"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Sarto, M. (1984). Estrategias de animación de la lectura. Madrid: Espasa Calpe.</w:t>
          </w:r>
        </w:p>
        <w:p w14:paraId="1501C7E2"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Solé, I. (1992). Estrategias de lectura. Barcelona, España: Graó.</w:t>
          </w:r>
        </w:p>
        <w:p w14:paraId="005DF1F0" w14:textId="77777777" w:rsidR="00D26767" w:rsidRPr="0094623B" w:rsidRDefault="00D26767" w:rsidP="00D26767">
          <w:pPr>
            <w:pStyle w:val="Bibliografa"/>
            <w:spacing w:line="276" w:lineRule="auto"/>
            <w:ind w:left="2410" w:right="-4" w:hanging="720"/>
            <w:jc w:val="both"/>
            <w:rPr>
              <w:rFonts w:ascii="Georgia" w:hAnsi="Georgia"/>
              <w:lang w:eastAsia="es-ES_tradnl"/>
            </w:rPr>
          </w:pPr>
          <w:proofErr w:type="spellStart"/>
          <w:r w:rsidRPr="0094623B">
            <w:rPr>
              <w:rFonts w:ascii="Georgia" w:hAnsi="Georgia"/>
              <w:lang w:eastAsia="es-ES_tradnl"/>
            </w:rPr>
            <w:t>Spink</w:t>
          </w:r>
          <w:proofErr w:type="spellEnd"/>
          <w:r w:rsidRPr="0094623B">
            <w:rPr>
              <w:rFonts w:ascii="Georgia" w:hAnsi="Georgia"/>
              <w:lang w:eastAsia="es-ES_tradnl"/>
            </w:rPr>
            <w:t>, J. (1990). Niños lectores. Madrid: Fundación Germán Sánchez Ruipérez.</w:t>
          </w:r>
        </w:p>
        <w:p w14:paraId="2F172695"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 xml:space="preserve">Venegas, M., Muñoz, M., &amp; Bernal, L. (2005). Promoción de la lectura en la biblioteca y el aula. Argentina: </w:t>
          </w:r>
          <w:proofErr w:type="spellStart"/>
          <w:r w:rsidRPr="0094623B">
            <w:rPr>
              <w:rFonts w:ascii="Georgia" w:hAnsi="Georgia"/>
              <w:lang w:eastAsia="es-ES_tradnl"/>
            </w:rPr>
            <w:t>Aique</w:t>
          </w:r>
          <w:proofErr w:type="spellEnd"/>
          <w:r w:rsidRPr="0094623B">
            <w:rPr>
              <w:rFonts w:ascii="Georgia" w:hAnsi="Georgia"/>
              <w:lang w:eastAsia="es-ES_tradnl"/>
            </w:rPr>
            <w:t xml:space="preserve"> Grupo Editor S. A.</w:t>
          </w:r>
        </w:p>
        <w:p w14:paraId="262FE3EB" w14:textId="77777777" w:rsidR="00D26767" w:rsidRPr="0094623B" w:rsidRDefault="00D26767" w:rsidP="00D26767">
          <w:pPr>
            <w:pStyle w:val="Bibliografa"/>
            <w:spacing w:line="276" w:lineRule="auto"/>
            <w:ind w:left="2410" w:right="-4" w:hanging="720"/>
            <w:jc w:val="both"/>
            <w:rPr>
              <w:rFonts w:ascii="Georgia" w:hAnsi="Georgia"/>
              <w:lang w:eastAsia="es-ES_tradnl"/>
            </w:rPr>
          </w:pPr>
          <w:r w:rsidRPr="0094623B">
            <w:rPr>
              <w:rFonts w:ascii="Georgia" w:hAnsi="Georgia"/>
              <w:lang w:eastAsia="es-ES_tradnl"/>
            </w:rPr>
            <w:t xml:space="preserve">Zempoalteca, Barragán, &amp; González. (2017). Formación en TIC y competencia digital en la docencia en instituciones públicas de educación superior. Apertura, 9(1), 80-96. </w:t>
          </w:r>
          <w:proofErr w:type="spellStart"/>
          <w:proofErr w:type="gramStart"/>
          <w:r w:rsidRPr="0094623B">
            <w:rPr>
              <w:rFonts w:ascii="Georgia" w:hAnsi="Georgia"/>
              <w:lang w:eastAsia="es-ES_tradnl"/>
            </w:rPr>
            <w:t>doi:http</w:t>
          </w:r>
          <w:proofErr w:type="spellEnd"/>
          <w:r w:rsidRPr="0094623B">
            <w:rPr>
              <w:rFonts w:ascii="Georgia" w:hAnsi="Georgia"/>
              <w:lang w:eastAsia="es-ES_tradnl"/>
            </w:rPr>
            <w:t>://dx.doi.org/10.32870/Ap.v9n1.922</w:t>
          </w:r>
          <w:proofErr w:type="gramEnd"/>
        </w:p>
        <w:p w14:paraId="3BFE5281" w14:textId="164782AB" w:rsidR="003F39F7" w:rsidRPr="0094623B" w:rsidRDefault="003F39F7" w:rsidP="00D26767">
          <w:pPr>
            <w:pStyle w:val="Bibliografa"/>
            <w:spacing w:line="276" w:lineRule="auto"/>
            <w:ind w:left="2410" w:right="-4" w:hanging="720"/>
            <w:jc w:val="both"/>
            <w:rPr>
              <w:rFonts w:ascii="Georgia" w:hAnsi="Georgia"/>
            </w:rPr>
          </w:pPr>
        </w:p>
        <w:p w14:paraId="26AFF70E" w14:textId="77777777" w:rsidR="003F39F7" w:rsidRPr="0094623B" w:rsidRDefault="00000000" w:rsidP="003F39F7">
          <w:pPr>
            <w:pStyle w:val="Bibliografa"/>
            <w:spacing w:line="276" w:lineRule="auto"/>
            <w:ind w:left="2410" w:right="-4" w:hanging="720"/>
            <w:jc w:val="both"/>
            <w:rPr>
              <w:rFonts w:ascii="Georgia" w:hAnsi="Georgia"/>
            </w:rPr>
          </w:pPr>
        </w:p>
      </w:sdtContent>
    </w:sdt>
    <w:p w14:paraId="47A5A5E8" w14:textId="77777777" w:rsidR="003F39F7" w:rsidRPr="0094623B" w:rsidRDefault="003F39F7" w:rsidP="003F39F7">
      <w:pPr>
        <w:pStyle w:val="Bibliografa"/>
        <w:spacing w:line="276" w:lineRule="auto"/>
        <w:ind w:left="2410" w:right="-4" w:hanging="720"/>
        <w:jc w:val="both"/>
        <w:rPr>
          <w:rFonts w:ascii="Georgia" w:hAnsi="Georgia"/>
        </w:rPr>
      </w:pPr>
    </w:p>
    <w:p w14:paraId="3D0B5B36" w14:textId="77777777" w:rsidR="00204373" w:rsidRPr="0094623B" w:rsidRDefault="00204373" w:rsidP="007A6B31">
      <w:pPr>
        <w:autoSpaceDE w:val="0"/>
        <w:autoSpaceDN w:val="0"/>
        <w:adjustRightInd w:val="0"/>
        <w:spacing w:before="120" w:after="120"/>
        <w:jc w:val="both"/>
        <w:rPr>
          <w:rFonts w:ascii="Georgia" w:hAnsi="Georgia" w:cs="Arial"/>
        </w:rPr>
      </w:pPr>
    </w:p>
    <w:sectPr w:rsidR="00204373" w:rsidRPr="0094623B" w:rsidSect="00A51E9C">
      <w:headerReference w:type="even" r:id="rId14"/>
      <w:headerReference w:type="default" r:id="rId15"/>
      <w:footerReference w:type="even" r:id="rId16"/>
      <w:footerReference w:type="default" r:id="rId17"/>
      <w:headerReference w:type="first" r:id="rId18"/>
      <w:footerReference w:type="first" r:id="rId19"/>
      <w:pgSz w:w="11904" w:h="16836" w:code="9"/>
      <w:pgMar w:top="2693" w:right="1418" w:bottom="2410" w:left="1418" w:header="709" w:footer="476" w:gutter="0"/>
      <w:pgNumType w:start="3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59AD" w14:textId="77777777" w:rsidR="005C7403" w:rsidRDefault="005C7403" w:rsidP="003A466C">
      <w:r>
        <w:separator/>
      </w:r>
    </w:p>
  </w:endnote>
  <w:endnote w:type="continuationSeparator" w:id="0">
    <w:p w14:paraId="5A43A479" w14:textId="77777777" w:rsidR="005C7403" w:rsidRDefault="005C7403" w:rsidP="003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yriad Pro">
    <w:charset w:val="00"/>
    <w:family w:val="swiss"/>
    <w:pitch w:val="variable"/>
    <w:sig w:usb0="2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74735"/>
      <w:docPartObj>
        <w:docPartGallery w:val="Page Numbers (Bottom of Page)"/>
        <w:docPartUnique/>
      </w:docPartObj>
    </w:sdtPr>
    <w:sdtContent>
      <w:p w14:paraId="6187EA52" w14:textId="2BC09785" w:rsidR="006425D3" w:rsidRDefault="006425D3">
        <w:pPr>
          <w:pStyle w:val="Piedepgina"/>
          <w:jc w:val="right"/>
        </w:pPr>
        <w:r>
          <w:fldChar w:fldCharType="begin"/>
        </w:r>
        <w:r>
          <w:instrText>PAGE   \* MERGEFORMAT</w:instrText>
        </w:r>
        <w:r>
          <w:fldChar w:fldCharType="separate"/>
        </w:r>
        <w:r>
          <w:rPr>
            <w:lang w:val="es-ES"/>
          </w:rPr>
          <w:t>2</w:t>
        </w:r>
        <w:r>
          <w:fldChar w:fldCharType="end"/>
        </w:r>
      </w:p>
    </w:sdtContent>
  </w:sdt>
  <w:p w14:paraId="72D5E3BF" w14:textId="77777777" w:rsidR="006425D3" w:rsidRDefault="006425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235789"/>
      <w:docPartObj>
        <w:docPartGallery w:val="Page Numbers (Bottom of Page)"/>
        <w:docPartUnique/>
      </w:docPartObj>
    </w:sdtPr>
    <w:sdtContent>
      <w:p w14:paraId="0F061850" w14:textId="15CC8FA1" w:rsidR="006425D3" w:rsidRDefault="006425D3">
        <w:pPr>
          <w:pStyle w:val="Piedepgina"/>
          <w:jc w:val="right"/>
        </w:pPr>
        <w:r>
          <w:fldChar w:fldCharType="begin"/>
        </w:r>
        <w:r>
          <w:instrText>PAGE   \* MERGEFORMAT</w:instrText>
        </w:r>
        <w:r>
          <w:fldChar w:fldCharType="separate"/>
        </w:r>
        <w:r>
          <w:rPr>
            <w:lang w:val="es-ES"/>
          </w:rPr>
          <w:t>2</w:t>
        </w:r>
        <w:r>
          <w:fldChar w:fldCharType="end"/>
        </w:r>
      </w:p>
    </w:sdtContent>
  </w:sdt>
  <w:p w14:paraId="35FF8C43" w14:textId="77777777" w:rsidR="006425D3" w:rsidRDefault="006425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61900"/>
      <w:docPartObj>
        <w:docPartGallery w:val="Page Numbers (Bottom of Page)"/>
        <w:docPartUnique/>
      </w:docPartObj>
    </w:sdtPr>
    <w:sdtContent>
      <w:p w14:paraId="4BA18118" w14:textId="398336D1" w:rsidR="006D2F4F" w:rsidRDefault="006D2F4F">
        <w:pPr>
          <w:pStyle w:val="Piedepgina"/>
          <w:jc w:val="right"/>
        </w:pPr>
        <w:r>
          <w:fldChar w:fldCharType="begin"/>
        </w:r>
        <w:r>
          <w:instrText>PAGE   \* MERGEFORMAT</w:instrText>
        </w:r>
        <w:r>
          <w:fldChar w:fldCharType="separate"/>
        </w:r>
        <w:r>
          <w:rPr>
            <w:lang w:val="es-ES"/>
          </w:rPr>
          <w:t>2</w:t>
        </w:r>
        <w:r>
          <w:fldChar w:fldCharType="end"/>
        </w:r>
      </w:p>
    </w:sdtContent>
  </w:sdt>
  <w:p w14:paraId="4907E0B9" w14:textId="77777777" w:rsidR="00F1310A" w:rsidRPr="004231EF" w:rsidRDefault="00F1310A">
    <w:pPr>
      <w:pStyle w:val="Piedepgina"/>
      <w:rPr>
        <w:color w:val="FFFFFF" w:themeColor="background1"/>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490A" w14:textId="77777777" w:rsidR="005C7403" w:rsidRDefault="005C7403" w:rsidP="003A466C">
      <w:r>
        <w:separator/>
      </w:r>
    </w:p>
  </w:footnote>
  <w:footnote w:type="continuationSeparator" w:id="0">
    <w:p w14:paraId="6B827250" w14:textId="77777777" w:rsidR="005C7403" w:rsidRDefault="005C7403" w:rsidP="003A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71341452"/>
      <w:docPartObj>
        <w:docPartGallery w:val="Page Numbers (Top of Page)"/>
        <w:docPartUnique/>
      </w:docPartObj>
    </w:sdtPr>
    <w:sdtEndPr>
      <w:rPr>
        <w:rStyle w:val="Nmerodepgina"/>
        <w:color w:val="FFFFFF" w:themeColor="background1"/>
      </w:rPr>
    </w:sdtEndPr>
    <w:sdtContent>
      <w:p w14:paraId="1524834A" w14:textId="77777777" w:rsidR="00BE4E11" w:rsidRPr="00BE4E11" w:rsidRDefault="00BE4E11" w:rsidP="00BE4E11">
        <w:pPr>
          <w:pStyle w:val="Encabezado"/>
          <w:framePr w:wrap="none" w:vAnchor="text" w:hAnchor="page" w:x="9717" w:y="1"/>
          <w:rPr>
            <w:rStyle w:val="Nmerodepgina"/>
            <w:color w:val="FFFFFF" w:themeColor="background1"/>
          </w:rPr>
        </w:pPr>
        <w:r w:rsidRPr="00BE4E11">
          <w:rPr>
            <w:rStyle w:val="Nmerodepgina"/>
            <w:color w:val="FFFFFF" w:themeColor="background1"/>
          </w:rPr>
          <w:fldChar w:fldCharType="begin"/>
        </w:r>
        <w:r w:rsidRPr="00BE4E11">
          <w:rPr>
            <w:rStyle w:val="Nmerodepgina"/>
            <w:color w:val="FFFFFF" w:themeColor="background1"/>
          </w:rPr>
          <w:instrText xml:space="preserve"> PAGE </w:instrText>
        </w:r>
        <w:r w:rsidRPr="00BE4E11">
          <w:rPr>
            <w:rStyle w:val="Nmerodepgina"/>
            <w:color w:val="FFFFFF" w:themeColor="background1"/>
          </w:rPr>
          <w:fldChar w:fldCharType="separate"/>
        </w:r>
        <w:r>
          <w:rPr>
            <w:rStyle w:val="Nmerodepgina"/>
            <w:color w:val="FFFFFF" w:themeColor="background1"/>
          </w:rPr>
          <w:t>1</w:t>
        </w:r>
        <w:r w:rsidRPr="00BE4E11">
          <w:rPr>
            <w:rStyle w:val="Nmerodepgina"/>
            <w:color w:val="FFFFFF" w:themeColor="background1"/>
          </w:rPr>
          <w:fldChar w:fldCharType="end"/>
        </w:r>
      </w:p>
    </w:sdtContent>
  </w:sdt>
  <w:sdt>
    <w:sdtPr>
      <w:rPr>
        <w:rStyle w:val="Nmerodepgina"/>
      </w:rPr>
      <w:id w:val="1986741088"/>
      <w:docPartObj>
        <w:docPartGallery w:val="Page Numbers (Top of Page)"/>
        <w:docPartUnique/>
      </w:docPartObj>
    </w:sdtPr>
    <w:sdtEndPr>
      <w:rPr>
        <w:rStyle w:val="Nmerodepgina"/>
        <w:color w:val="FFFFFF" w:themeColor="background1"/>
      </w:rPr>
    </w:sdtEndPr>
    <w:sdtContent>
      <w:p w14:paraId="09D0AE50" w14:textId="77777777" w:rsidR="00BE4E11" w:rsidRPr="00BE4E11" w:rsidRDefault="00BE4E11" w:rsidP="00BE4E11">
        <w:pPr>
          <w:pStyle w:val="Encabezado"/>
          <w:framePr w:wrap="none" w:vAnchor="text" w:hAnchor="page" w:x="9717" w:y="1441"/>
          <w:rPr>
            <w:rStyle w:val="Nmerodepgina"/>
            <w:color w:val="FFFFFF" w:themeColor="background1"/>
          </w:rPr>
        </w:pPr>
        <w:r w:rsidRPr="00BE4E11">
          <w:rPr>
            <w:rStyle w:val="Nmerodepgina"/>
            <w:color w:val="FFFFFF" w:themeColor="background1"/>
          </w:rPr>
          <w:fldChar w:fldCharType="begin"/>
        </w:r>
        <w:r w:rsidRPr="00BE4E11">
          <w:rPr>
            <w:rStyle w:val="Nmerodepgina"/>
            <w:color w:val="FFFFFF" w:themeColor="background1"/>
          </w:rPr>
          <w:instrText xml:space="preserve"> PAGE </w:instrText>
        </w:r>
        <w:r w:rsidRPr="00BE4E11">
          <w:rPr>
            <w:rStyle w:val="Nmerodepgina"/>
            <w:color w:val="FFFFFF" w:themeColor="background1"/>
          </w:rPr>
          <w:fldChar w:fldCharType="separate"/>
        </w:r>
        <w:r>
          <w:rPr>
            <w:rStyle w:val="Nmerodepgina"/>
            <w:color w:val="FFFFFF" w:themeColor="background1"/>
          </w:rPr>
          <w:t>1</w:t>
        </w:r>
        <w:r w:rsidRPr="00BE4E11">
          <w:rPr>
            <w:rStyle w:val="Nmerodepgina"/>
            <w:color w:val="FFFFFF" w:themeColor="background1"/>
          </w:rPr>
          <w:fldChar w:fldCharType="end"/>
        </w:r>
      </w:p>
    </w:sdtContent>
  </w:sdt>
  <w:sdt>
    <w:sdtPr>
      <w:rPr>
        <w:rStyle w:val="Nmerodepgina"/>
      </w:rPr>
      <w:id w:val="1547112226"/>
      <w:docPartObj>
        <w:docPartGallery w:val="Page Numbers (Top of Page)"/>
        <w:docPartUnique/>
      </w:docPartObj>
    </w:sdtPr>
    <w:sdtEndPr>
      <w:rPr>
        <w:rStyle w:val="Nmerodepgina"/>
        <w:color w:val="FFFFFF" w:themeColor="background1"/>
      </w:rPr>
    </w:sdtEndPr>
    <w:sdtContent>
      <w:p w14:paraId="7163EE70" w14:textId="77777777" w:rsidR="00BE4E11" w:rsidRPr="00BE4E11" w:rsidRDefault="00BE4E11" w:rsidP="00BE4E11">
        <w:pPr>
          <w:pStyle w:val="Encabezado"/>
          <w:framePr w:wrap="none" w:vAnchor="text" w:hAnchor="page" w:x="9717" w:y="1"/>
          <w:rPr>
            <w:rStyle w:val="Nmerodepgina"/>
            <w:color w:val="FFFFFF" w:themeColor="background1"/>
          </w:rPr>
        </w:pPr>
        <w:r w:rsidRPr="00BE4E11">
          <w:rPr>
            <w:rStyle w:val="Nmerodepgina"/>
            <w:color w:val="FFFFFF" w:themeColor="background1"/>
          </w:rPr>
          <w:fldChar w:fldCharType="begin"/>
        </w:r>
        <w:r w:rsidRPr="00BE4E11">
          <w:rPr>
            <w:rStyle w:val="Nmerodepgina"/>
            <w:color w:val="FFFFFF" w:themeColor="background1"/>
          </w:rPr>
          <w:instrText xml:space="preserve"> PAGE </w:instrText>
        </w:r>
        <w:r w:rsidRPr="00BE4E11">
          <w:rPr>
            <w:rStyle w:val="Nmerodepgina"/>
            <w:color w:val="FFFFFF" w:themeColor="background1"/>
          </w:rPr>
          <w:fldChar w:fldCharType="separate"/>
        </w:r>
        <w:r>
          <w:rPr>
            <w:rStyle w:val="Nmerodepgina"/>
            <w:color w:val="FFFFFF" w:themeColor="background1"/>
          </w:rPr>
          <w:t>1</w:t>
        </w:r>
        <w:r w:rsidRPr="00BE4E11">
          <w:rPr>
            <w:rStyle w:val="Nmerodepgina"/>
            <w:color w:val="FFFFFF" w:themeColor="background1"/>
          </w:rPr>
          <w:fldChar w:fldCharType="end"/>
        </w:r>
      </w:p>
    </w:sdtContent>
  </w:sdt>
  <w:p w14:paraId="02901D14" w14:textId="77777777" w:rsidR="006425D3" w:rsidRDefault="006425D3" w:rsidP="00463DB8">
    <w:pPr>
      <w:jc w:val="right"/>
      <w:rPr>
        <w:rFonts w:ascii="Georgia" w:hAnsi="Georgia"/>
        <w:bCs/>
        <w:sz w:val="20"/>
        <w:szCs w:val="20"/>
        <w:lang w:val="en-US"/>
      </w:rPr>
    </w:pPr>
  </w:p>
  <w:p w14:paraId="6EA4C17C" w14:textId="09232BB9" w:rsidR="006425D3" w:rsidRDefault="006425D3" w:rsidP="00463DB8">
    <w:pPr>
      <w:jc w:val="right"/>
      <w:rPr>
        <w:rFonts w:ascii="Georgia" w:hAnsi="Georgia"/>
        <w:bCs/>
        <w:sz w:val="20"/>
        <w:szCs w:val="20"/>
        <w:lang w:val="en-US"/>
      </w:rPr>
    </w:pPr>
    <w:r>
      <w:rPr>
        <w:rFonts w:ascii="Georgia" w:hAnsi="Georgia"/>
        <w:bCs/>
        <w:sz w:val="20"/>
        <w:szCs w:val="20"/>
        <w:lang w:val="en-US"/>
      </w:rPr>
      <w:t>37-53</w:t>
    </w:r>
  </w:p>
  <w:p w14:paraId="328B6314" w14:textId="12AF6AE6" w:rsidR="00463DB8" w:rsidRPr="00D8283B" w:rsidRDefault="00463DB8" w:rsidP="00463DB8">
    <w:pPr>
      <w:jc w:val="right"/>
      <w:rPr>
        <w:rFonts w:ascii="Georgia" w:hAnsi="Georgia"/>
        <w:bCs/>
        <w:sz w:val="20"/>
        <w:szCs w:val="20"/>
        <w:lang w:val="en-US"/>
      </w:rPr>
    </w:pPr>
    <w:r w:rsidRPr="00D8283B">
      <w:rPr>
        <w:rFonts w:ascii="Georgia" w:hAnsi="Georgia"/>
        <w:bCs/>
        <w:sz w:val="20"/>
        <w:szCs w:val="20"/>
        <w:lang w:val="en-US"/>
      </w:rPr>
      <w:t xml:space="preserve">Leyla Johanna Cantos Over </w:t>
    </w:r>
  </w:p>
  <w:p w14:paraId="2864B26F" w14:textId="77777777" w:rsidR="00463DB8" w:rsidRPr="00D8283B" w:rsidRDefault="00463DB8" w:rsidP="00463DB8">
    <w:pPr>
      <w:jc w:val="right"/>
      <w:rPr>
        <w:rFonts w:ascii="Georgia" w:hAnsi="Georgia"/>
        <w:bCs/>
        <w:sz w:val="20"/>
        <w:szCs w:val="20"/>
        <w:lang w:val="en-US"/>
      </w:rPr>
    </w:pPr>
    <w:proofErr w:type="spellStart"/>
    <w:r w:rsidRPr="00D8283B">
      <w:rPr>
        <w:rFonts w:ascii="Georgia" w:hAnsi="Georgia"/>
        <w:bCs/>
        <w:sz w:val="20"/>
        <w:szCs w:val="20"/>
        <w:lang w:val="en-US"/>
      </w:rPr>
      <w:t>Miryan</w:t>
    </w:r>
    <w:proofErr w:type="spellEnd"/>
    <w:r w:rsidRPr="00D8283B">
      <w:rPr>
        <w:rFonts w:ascii="Georgia" w:hAnsi="Georgia"/>
        <w:bCs/>
        <w:sz w:val="20"/>
        <w:szCs w:val="20"/>
        <w:lang w:val="en-US"/>
      </w:rPr>
      <w:t xml:space="preserve"> Katherine </w:t>
    </w:r>
    <w:proofErr w:type="spellStart"/>
    <w:r w:rsidRPr="00D8283B">
      <w:rPr>
        <w:rFonts w:ascii="Georgia" w:hAnsi="Georgia"/>
        <w:bCs/>
        <w:sz w:val="20"/>
        <w:szCs w:val="20"/>
        <w:lang w:val="en-US"/>
      </w:rPr>
      <w:t>Morocho</w:t>
    </w:r>
    <w:proofErr w:type="spellEnd"/>
    <w:r w:rsidRPr="00D8283B">
      <w:rPr>
        <w:rFonts w:ascii="Georgia" w:hAnsi="Georgia"/>
        <w:bCs/>
        <w:sz w:val="20"/>
        <w:szCs w:val="20"/>
        <w:lang w:val="en-US"/>
      </w:rPr>
      <w:t xml:space="preserve"> </w:t>
    </w:r>
    <w:proofErr w:type="spellStart"/>
    <w:r w:rsidRPr="00D8283B">
      <w:rPr>
        <w:rFonts w:ascii="Georgia" w:hAnsi="Georgia"/>
        <w:bCs/>
        <w:sz w:val="20"/>
        <w:szCs w:val="20"/>
        <w:lang w:val="en-US"/>
      </w:rPr>
      <w:t>Choca</w:t>
    </w:r>
    <w:proofErr w:type="spellEnd"/>
  </w:p>
  <w:p w14:paraId="0031AEE6" w14:textId="33D2C4A1" w:rsidR="00BE4E11" w:rsidRPr="006C74D2" w:rsidRDefault="00BE4E11" w:rsidP="006C74D2">
    <w:pPr>
      <w:pStyle w:val="Encabezado"/>
      <w:jc w:val="right"/>
      <w:rPr>
        <w:sz w:val="20"/>
        <w:szCs w:val="20"/>
      </w:rPr>
    </w:pPr>
    <w:r w:rsidRPr="006C74D2">
      <w:rPr>
        <w:noProof/>
        <w:sz w:val="20"/>
        <w:szCs w:val="20"/>
      </w:rPr>
      <mc:AlternateContent>
        <mc:Choice Requires="wps">
          <w:drawing>
            <wp:anchor distT="0" distB="0" distL="114300" distR="114300" simplePos="0" relativeHeight="251660288" behindDoc="0" locked="0" layoutInCell="1" allowOverlap="1" wp14:anchorId="64E41BA8" wp14:editId="697FFA4A">
              <wp:simplePos x="0" y="0"/>
              <wp:positionH relativeFrom="column">
                <wp:posOffset>0</wp:posOffset>
              </wp:positionH>
              <wp:positionV relativeFrom="paragraph">
                <wp:posOffset>-635</wp:posOffset>
              </wp:positionV>
              <wp:extent cx="5722374" cy="0"/>
              <wp:effectExtent l="0" t="0" r="5715" b="12700"/>
              <wp:wrapNone/>
              <wp:docPr id="8" name="Conector recto 8"/>
              <wp:cNvGraphicFramePr/>
              <a:graphic xmlns:a="http://schemas.openxmlformats.org/drawingml/2006/main">
                <a:graphicData uri="http://schemas.microsoft.com/office/word/2010/wordprocessingShape">
                  <wps:wsp>
                    <wps:cNvCnPr/>
                    <wps:spPr>
                      <a:xfrm>
                        <a:off x="0" y="0"/>
                        <a:ext cx="5722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4BFD4" id="Conector recto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5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MmgEAAIgDAAAOAAAAZHJzL2Uyb0RvYy54bWysU9uO0zAQfUfiHyy/06Tlsihqug+7ghcE&#10;Ky4f4HXGjYXtscamSf+esdumCBBCiBfHl3POzJmZbG9n78QBKFkMvVyvWikgaBxs2Pfyy+c3z15L&#10;kbIKg3IYoJdHSPJ29/TJdoodbHBENwAJFgmpm2Ivx5xj1zRJj+BVWmGEwI8GyavMR9o3A6mJ1b1r&#10;Nm37qpmQhkioISW+vT89yl3VNwZ0/mBMgixcLzm3XFeq62NZm91WdXtScbT6nIb6hyy8soGDLlL3&#10;KivxjewvUt5qwoQmrzT6Bo2xGqoHdrNuf3LzaVQRqhcuTopLmdL/k9XvD3fhgbgMU0xdig9UXMyG&#10;fPlyfmKuxTouxYI5C82XL282m+c3L6TQl7fmSoyU8ltAL8qml86G4kN16vAuZQ7G0AuED9fQdZeP&#10;DgrYhY9ghB042Lqy61TAnSNxUNzP4eu69I+1KrJQjHVuIbV/Jp2xhQZ1Uv6WuKBrRAx5IXobkH4X&#10;Nc+XVM0Jf3F98lpsP+JwrI2o5eB2V2fn0Szz9OO50q8/0O47AAAA//8DAFBLAwQUAAYACAAAACEA&#10;JEYS+9kAAAAEAQAADwAAAGRycy9kb3ducmV2LnhtbEyPvU7DQBCEeyTe4bRIdMnZKUgwPkeInwoK&#10;YygoN77FtuLbs3wX2/D0LDRQjmY0802+X1yvJhpD59lAuk5AEdfedtwYeHt9XO1AhYhssfdMBj4p&#10;wL44P8sxs37mF5qq2Cgp4ZChgTbGIdM61C05DGs/EIv34UeHUeTYaDviLOWu15skudIOO5aFFge6&#10;a6k+VidnYPvwVJXDfP/8VeqtLsvJx93x3ZjLi+X2BlSkJf6F4Qdf0KEQpoM/sQ2qNyBHooFVCkrM&#10;6yTdgDr8al3k+j988Q0AAP//AwBQSwECLQAUAAYACAAAACEAtoM4kv4AAADhAQAAEwAAAAAAAAAA&#10;AAAAAAAAAAAAW0NvbnRlbnRfVHlwZXNdLnhtbFBLAQItABQABgAIAAAAIQA4/SH/1gAAAJQBAAAL&#10;AAAAAAAAAAAAAAAAAC8BAABfcmVscy8ucmVsc1BLAQItABQABgAIAAAAIQBFXK/MmgEAAIgDAAAO&#10;AAAAAAAAAAAAAAAAAC4CAABkcnMvZTJvRG9jLnhtbFBLAQItABQABgAIAAAAIQAkRhL72QAAAAQB&#10;AAAPAAAAAAAAAAAAAAAAAPQDAABkcnMvZG93bnJldi54bWxQSwUGAAAAAAQABADzAAAA+g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6731" w14:textId="395C57DD" w:rsidR="00463DB8" w:rsidRPr="00392B43" w:rsidRDefault="00463DB8" w:rsidP="00392B43">
    <w:pPr>
      <w:spacing w:before="120" w:after="120"/>
      <w:jc w:val="right"/>
      <w:rPr>
        <w:rFonts w:ascii="Georgia" w:hAnsi="Georgia" w:cs="Arial"/>
        <w:sz w:val="20"/>
        <w:szCs w:val="20"/>
      </w:rPr>
    </w:pPr>
    <w:r w:rsidRPr="00463DB8">
      <w:rPr>
        <w:rFonts w:ascii="Georgia" w:hAnsi="Georgia" w:cs="Arial"/>
        <w:sz w:val="20"/>
        <w:szCs w:val="20"/>
      </w:rPr>
      <w:t>Incidencia de las Tics en la animación de la lectura en estudiantes de 4to EB</w:t>
    </w:r>
  </w:p>
  <w:p w14:paraId="4F4426B4" w14:textId="27791BA2" w:rsidR="00BE4E11" w:rsidRDefault="00BE4E11">
    <w:pPr>
      <w:pStyle w:val="Encabezado"/>
    </w:pPr>
    <w:r w:rsidRPr="00456756">
      <w:rPr>
        <w:rFonts w:ascii="Georgia" w:hAnsi="Georgia" w:cs="Arial"/>
        <w:noProof/>
      </w:rPr>
      <mc:AlternateContent>
        <mc:Choice Requires="wps">
          <w:drawing>
            <wp:anchor distT="0" distB="0" distL="114300" distR="114300" simplePos="0" relativeHeight="251678720" behindDoc="0" locked="0" layoutInCell="1" allowOverlap="1" wp14:anchorId="07AFA990" wp14:editId="7908B7E0">
              <wp:simplePos x="0" y="0"/>
              <wp:positionH relativeFrom="column">
                <wp:posOffset>0</wp:posOffset>
              </wp:positionH>
              <wp:positionV relativeFrom="paragraph">
                <wp:posOffset>-635</wp:posOffset>
              </wp:positionV>
              <wp:extent cx="5722374" cy="0"/>
              <wp:effectExtent l="0" t="0" r="5715" b="12700"/>
              <wp:wrapNone/>
              <wp:docPr id="16" name="Conector recto 16"/>
              <wp:cNvGraphicFramePr/>
              <a:graphic xmlns:a="http://schemas.openxmlformats.org/drawingml/2006/main">
                <a:graphicData uri="http://schemas.microsoft.com/office/word/2010/wordprocessingShape">
                  <wps:wsp>
                    <wps:cNvCnPr/>
                    <wps:spPr>
                      <a:xfrm>
                        <a:off x="0" y="0"/>
                        <a:ext cx="5722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19191" id="Conector recto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5pt" to="45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y8swEAALUDAAAOAAAAZHJzL2Uyb0RvYy54bWysU8GOEzEMvSPxD1HudKYFdtGo0z10BRcE&#10;FSwfkM04nYgkjpzQaf8eJ21nESCEEJdkHL9n+9me9d3RO3EAShZDL5eLVgoIGgcb9r388vD2xRsp&#10;UlZhUA4D9PIESd5tnj9bT7GDFY7oBiDBQULqptjLMefYNU3SI3iVFhghsNMgeZXZpH0zkJo4unfN&#10;qm1vmglpiIQaUuLX+7NTbmp8Y0Dnj8YkyML1kmvL9aR6Ppaz2axVtycVR6svZah/qMIrGzjpHOpe&#10;ZSW+kf0llLeaMKHJC42+QWOshqqB1Szbn9R8HlWEqoWbk+LcpvT/wuoPhx0JO/DsbqQIyvOMtjwp&#10;nZEElUuwg7s0xdQxeBt2dLFS3FGRfDTky81ixLF29jR3Fo5ZaH58fbtavbx9JYW++ponYqSU3wF6&#10;UT566WwoolWnDu9T5mQMvULYKIWcU9evfHJQwC58AsNCONmysusKwdaROCge/vB1WWRwrIosFGOd&#10;m0ntn0kXbKFBXau/Jc7omhFDnoneBqTfZc3Ha6nmjL+qPmstsh9xONVB1HbwblRllz0uy/ejXelP&#10;f9vmOwAAAP//AwBQSwMEFAAGAAgAAAAhAJwZSYLeAAAACQEAAA8AAABkcnMvZG93bnJldi54bWxM&#10;jzFPwzAQhXck/oN1lbq1Tjq0JY1TVRSmMoTAwOjGRxI1Pkexm6T8eg4WWE56enrv3pfuJ9uKAXvf&#10;OFIQLyMQSKUzDVUK3t+eF1sQPmgyunWECm7oYZ/d36U6MW6kVxyKUAkuIZ9oBXUIXSKlL2u02i9d&#10;h8Tep+utDiz7Sppej1xuW7mKorW0uiH+UOsOH2ssL8XVKtg8nYq8G48vX7ncyDwfXNhePpSaz6bj&#10;js9hByLgFP4S8MPA+yHjYWd3JeNFq4BpgoJFDILNhyhegTj/apml8j9B9g0AAP//AwBQSwECLQAU&#10;AAYACAAAACEAtoM4kv4AAADhAQAAEwAAAAAAAAAAAAAAAAAAAAAAW0NvbnRlbnRfVHlwZXNdLnht&#10;bFBLAQItABQABgAIAAAAIQA4/SH/1gAAAJQBAAALAAAAAAAAAAAAAAAAAC8BAABfcmVscy8ucmVs&#10;c1BLAQItABQABgAIAAAAIQBe5py8swEAALUDAAAOAAAAAAAAAAAAAAAAAC4CAABkcnMvZTJvRG9j&#10;LnhtbFBLAQItABQABgAIAAAAIQCcGUmC3gAAAAkBAAAPAAAAAAAAAAAAAAAAAA0EAABkcnMvZG93&#10;bnJldi54bWxQSwUGAAAAAAQABADzAAAAGAU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58762882"/>
      <w:docPartObj>
        <w:docPartGallery w:val="Page Numbers (Top of Page)"/>
        <w:docPartUnique/>
      </w:docPartObj>
    </w:sdtPr>
    <w:sdtEndPr>
      <w:rPr>
        <w:rStyle w:val="Nmerodepgina"/>
        <w:color w:val="FFFFFF" w:themeColor="background1"/>
      </w:rPr>
    </w:sdtEndPr>
    <w:sdtContent>
      <w:p w14:paraId="222BEA19" w14:textId="070FE785" w:rsidR="00BE4E11" w:rsidRPr="00BE4E11" w:rsidRDefault="00BE4E11" w:rsidP="00BE4E11">
        <w:pPr>
          <w:pStyle w:val="Encabezado"/>
          <w:framePr w:wrap="none" w:vAnchor="text" w:hAnchor="page" w:x="10141" w:y="140"/>
          <w:rPr>
            <w:rStyle w:val="Nmerodepgina"/>
            <w:color w:val="FFFFFF" w:themeColor="background1"/>
          </w:rPr>
        </w:pPr>
        <w:r w:rsidRPr="00BE4E11">
          <w:rPr>
            <w:rStyle w:val="Nmerodepgina"/>
            <w:color w:val="FFFFFF" w:themeColor="background1"/>
          </w:rPr>
          <w:fldChar w:fldCharType="begin"/>
        </w:r>
        <w:r w:rsidRPr="00BE4E11">
          <w:rPr>
            <w:rStyle w:val="Nmerodepgina"/>
            <w:color w:val="FFFFFF" w:themeColor="background1"/>
          </w:rPr>
          <w:instrText xml:space="preserve"> PAGE </w:instrText>
        </w:r>
        <w:r w:rsidRPr="00BE4E11">
          <w:rPr>
            <w:rStyle w:val="Nmerodepgina"/>
            <w:color w:val="FFFFFF" w:themeColor="background1"/>
          </w:rPr>
          <w:fldChar w:fldCharType="separate"/>
        </w:r>
        <w:r w:rsidRPr="00BE4E11">
          <w:rPr>
            <w:rStyle w:val="Nmerodepgina"/>
            <w:noProof/>
            <w:color w:val="FFFFFF" w:themeColor="background1"/>
          </w:rPr>
          <w:t>1</w:t>
        </w:r>
        <w:r w:rsidRPr="00BE4E11">
          <w:rPr>
            <w:rStyle w:val="Nmerodepgina"/>
            <w:color w:val="FFFFFF" w:themeColor="background1"/>
          </w:rPr>
          <w:fldChar w:fldCharType="end"/>
        </w:r>
      </w:p>
    </w:sdtContent>
  </w:sdt>
  <w:p w14:paraId="580410AA" w14:textId="14EA6868" w:rsidR="00456756" w:rsidRDefault="00BE4E11" w:rsidP="00BE4E11">
    <w:pPr>
      <w:pStyle w:val="Encabezado"/>
      <w:ind w:right="360" w:firstLine="360"/>
    </w:pPr>
    <w:r>
      <w:rPr>
        <w:noProof/>
      </w:rPr>
      <mc:AlternateContent>
        <mc:Choice Requires="wps">
          <w:drawing>
            <wp:anchor distT="0" distB="0" distL="114300" distR="114300" simplePos="0" relativeHeight="251659264" behindDoc="0" locked="0" layoutInCell="1" allowOverlap="1" wp14:anchorId="4CFE4B04" wp14:editId="2DD362B1">
              <wp:simplePos x="0" y="0"/>
              <wp:positionH relativeFrom="column">
                <wp:posOffset>2583448</wp:posOffset>
              </wp:positionH>
              <wp:positionV relativeFrom="paragraph">
                <wp:posOffset>11430</wp:posOffset>
              </wp:positionV>
              <wp:extent cx="2435191" cy="1301262"/>
              <wp:effectExtent l="0" t="0" r="3810" b="0"/>
              <wp:wrapNone/>
              <wp:docPr id="5" name="Cuadro de texto 5"/>
              <wp:cNvGraphicFramePr/>
              <a:graphic xmlns:a="http://schemas.openxmlformats.org/drawingml/2006/main">
                <a:graphicData uri="http://schemas.microsoft.com/office/word/2010/wordprocessingShape">
                  <wps:wsp>
                    <wps:cNvSpPr txBox="1"/>
                    <wps:spPr>
                      <a:xfrm>
                        <a:off x="0" y="0"/>
                        <a:ext cx="2435191" cy="1301262"/>
                      </a:xfrm>
                      <a:prstGeom prst="rect">
                        <a:avLst/>
                      </a:prstGeom>
                      <a:solidFill>
                        <a:schemeClr val="lt1"/>
                      </a:solidFill>
                      <a:ln w="6350">
                        <a:noFill/>
                      </a:ln>
                    </wps:spPr>
                    <wps:txbx>
                      <w:txbxContent>
                        <w:p w14:paraId="2A93718D" w14:textId="77777777" w:rsidR="00456756" w:rsidRDefault="00456756" w:rsidP="00BE4E11">
                          <w:pPr>
                            <w:ind w:right="298"/>
                            <w:rPr>
                              <w:rFonts w:ascii="Georgia" w:hAnsi="Georgia"/>
                              <w:b/>
                              <w:bCs/>
                              <w:sz w:val="18"/>
                              <w:szCs w:val="18"/>
                              <w:lang w:eastAsia="es-ES"/>
                            </w:rPr>
                          </w:pPr>
                        </w:p>
                        <w:p w14:paraId="71C3D9F2" w14:textId="169B6BDB" w:rsidR="00BE4E11" w:rsidRDefault="00BE4E11" w:rsidP="00BE4E11">
                          <w:pPr>
                            <w:ind w:right="298"/>
                            <w:rPr>
                              <w:rFonts w:ascii="Georgia" w:hAnsi="Georgia"/>
                              <w:sz w:val="18"/>
                              <w:szCs w:val="18"/>
                              <w:lang w:eastAsia="es-ES"/>
                            </w:rPr>
                          </w:pPr>
                          <w:r>
                            <w:rPr>
                              <w:rFonts w:ascii="Georgia" w:hAnsi="Georgia"/>
                              <w:sz w:val="18"/>
                              <w:szCs w:val="18"/>
                              <w:lang w:eastAsia="es-ES"/>
                            </w:rPr>
                            <w:t xml:space="preserve">Revista </w:t>
                          </w:r>
                          <w:r w:rsidR="00370C5D">
                            <w:rPr>
                              <w:rFonts w:ascii="Georgia" w:hAnsi="Georgia"/>
                              <w:sz w:val="18"/>
                              <w:szCs w:val="18"/>
                              <w:lang w:eastAsia="es-ES"/>
                            </w:rPr>
                            <w:t>Minerva</w:t>
                          </w:r>
                        </w:p>
                        <w:p w14:paraId="1459A1F4" w14:textId="78745D2F" w:rsidR="00456756" w:rsidRPr="00BE4E11" w:rsidRDefault="00456756" w:rsidP="00BE4E11">
                          <w:pPr>
                            <w:ind w:right="298"/>
                            <w:rPr>
                              <w:rFonts w:ascii="Georgia" w:hAnsi="Georgia"/>
                              <w:sz w:val="18"/>
                              <w:szCs w:val="18"/>
                              <w:lang w:eastAsia="es-ES"/>
                            </w:rPr>
                          </w:pPr>
                          <w:proofErr w:type="spellStart"/>
                          <w:r w:rsidRPr="00BE4E11">
                            <w:rPr>
                              <w:rFonts w:ascii="Georgia" w:hAnsi="Georgia"/>
                              <w:sz w:val="18"/>
                              <w:szCs w:val="18"/>
                              <w:lang w:eastAsia="es-ES"/>
                            </w:rPr>
                            <w:t>Vol</w:t>
                          </w:r>
                          <w:proofErr w:type="spellEnd"/>
                          <w:r w:rsidRPr="00BE4E11">
                            <w:rPr>
                              <w:rFonts w:ascii="Georgia" w:hAnsi="Georgia"/>
                              <w:sz w:val="18"/>
                              <w:szCs w:val="18"/>
                              <w:lang w:eastAsia="es-ES"/>
                            </w:rPr>
                            <w:t xml:space="preserve"> – </w:t>
                          </w:r>
                          <w:r w:rsidR="00B40B05">
                            <w:rPr>
                              <w:rFonts w:ascii="Georgia" w:hAnsi="Georgia"/>
                              <w:sz w:val="18"/>
                              <w:szCs w:val="18"/>
                              <w:lang w:eastAsia="es-ES"/>
                            </w:rPr>
                            <w:t>3</w:t>
                          </w:r>
                          <w:r w:rsidR="006C74D2">
                            <w:rPr>
                              <w:rFonts w:ascii="Georgia" w:hAnsi="Georgia"/>
                              <w:sz w:val="18"/>
                              <w:szCs w:val="18"/>
                              <w:lang w:eastAsia="es-ES"/>
                            </w:rPr>
                            <w:t xml:space="preserve"> </w:t>
                          </w:r>
                          <w:r w:rsidRPr="00BE4E11">
                            <w:rPr>
                              <w:rFonts w:ascii="Georgia" w:hAnsi="Georgia"/>
                              <w:sz w:val="18"/>
                              <w:szCs w:val="18"/>
                              <w:lang w:eastAsia="es-ES"/>
                            </w:rPr>
                            <w:t xml:space="preserve">No. </w:t>
                          </w:r>
                          <w:r w:rsidR="009830CA">
                            <w:rPr>
                              <w:rFonts w:ascii="Georgia" w:hAnsi="Georgia"/>
                              <w:sz w:val="18"/>
                              <w:szCs w:val="18"/>
                              <w:lang w:eastAsia="es-ES"/>
                            </w:rPr>
                            <w:t>5</w:t>
                          </w:r>
                          <w:r w:rsidRPr="00BE4E11">
                            <w:rPr>
                              <w:rFonts w:ascii="Georgia" w:hAnsi="Georgia"/>
                              <w:sz w:val="18"/>
                              <w:szCs w:val="18"/>
                              <w:lang w:eastAsia="es-ES"/>
                            </w:rPr>
                            <w:t xml:space="preserve">, </w:t>
                          </w:r>
                          <w:r w:rsidR="009830CA">
                            <w:rPr>
                              <w:rFonts w:ascii="Georgia" w:hAnsi="Georgia"/>
                              <w:sz w:val="18"/>
                              <w:szCs w:val="18"/>
                              <w:lang w:eastAsia="es-ES"/>
                            </w:rPr>
                            <w:t>julio-</w:t>
                          </w:r>
                          <w:r w:rsidR="004F6A11">
                            <w:rPr>
                              <w:rFonts w:ascii="Georgia" w:hAnsi="Georgia"/>
                              <w:sz w:val="18"/>
                              <w:szCs w:val="18"/>
                              <w:lang w:eastAsia="es-ES"/>
                            </w:rPr>
                            <w:t>diciembre</w:t>
                          </w:r>
                          <w:r w:rsidR="00B40B05">
                            <w:rPr>
                              <w:rFonts w:ascii="Georgia" w:hAnsi="Georgia"/>
                              <w:sz w:val="18"/>
                              <w:szCs w:val="18"/>
                              <w:lang w:eastAsia="es-ES"/>
                            </w:rPr>
                            <w:t xml:space="preserve"> 2022</w:t>
                          </w:r>
                        </w:p>
                        <w:p w14:paraId="4DA6BD4B" w14:textId="593C9A79" w:rsidR="00456756" w:rsidRPr="00BE4E11" w:rsidRDefault="00456756" w:rsidP="00BE4E11">
                          <w:pPr>
                            <w:ind w:right="298"/>
                            <w:rPr>
                              <w:rFonts w:ascii="Georgia" w:hAnsi="Georgia"/>
                              <w:sz w:val="18"/>
                              <w:szCs w:val="18"/>
                              <w:lang w:eastAsia="es-ES"/>
                            </w:rPr>
                          </w:pPr>
                          <w:r w:rsidRPr="00BE4E11">
                            <w:rPr>
                              <w:rFonts w:ascii="Georgia" w:hAnsi="Georgia"/>
                              <w:sz w:val="18"/>
                              <w:szCs w:val="18"/>
                              <w:lang w:eastAsia="es-ES"/>
                            </w:rPr>
                            <w:t xml:space="preserve"> e-ISSN: </w:t>
                          </w:r>
                          <w:r w:rsidR="00B40B05">
                            <w:rPr>
                              <w:rFonts w:ascii="Georgia" w:hAnsi="Georgia"/>
                              <w:sz w:val="18"/>
                              <w:szCs w:val="18"/>
                              <w:lang w:eastAsia="es-ES"/>
                            </w:rPr>
                            <w:t>2953-6316</w:t>
                          </w:r>
                        </w:p>
                        <w:p w14:paraId="16A6FB4E" w14:textId="5835D1EA" w:rsidR="00456756" w:rsidRPr="006425D3" w:rsidRDefault="00D26767" w:rsidP="00BE4E11">
                          <w:pPr>
                            <w:ind w:right="298"/>
                            <w:rPr>
                              <w:rFonts w:ascii="Georgia" w:hAnsi="Georgia"/>
                              <w:sz w:val="18"/>
                              <w:szCs w:val="18"/>
                              <w:lang w:eastAsia="es-ES"/>
                            </w:rPr>
                          </w:pPr>
                          <w:r w:rsidRPr="006425D3">
                            <w:rPr>
                              <w:rFonts w:ascii="Georgia" w:hAnsi="Georgia"/>
                              <w:sz w:val="18"/>
                              <w:szCs w:val="18"/>
                              <w:lang w:eastAsia="es-ES"/>
                            </w:rPr>
                            <w:t>3</w:t>
                          </w:r>
                          <w:r w:rsidR="006D2F4F">
                            <w:rPr>
                              <w:rFonts w:ascii="Georgia" w:hAnsi="Georgia"/>
                              <w:sz w:val="18"/>
                              <w:szCs w:val="18"/>
                              <w:lang w:eastAsia="es-ES"/>
                            </w:rPr>
                            <w:t>6</w:t>
                          </w:r>
                          <w:r w:rsidRPr="006425D3">
                            <w:rPr>
                              <w:rFonts w:ascii="Georgia" w:hAnsi="Georgia"/>
                              <w:sz w:val="18"/>
                              <w:szCs w:val="18"/>
                              <w:lang w:eastAsia="es-ES"/>
                            </w:rPr>
                            <w:t>-5</w:t>
                          </w:r>
                          <w:r w:rsidR="006D2F4F">
                            <w:rPr>
                              <w:rFonts w:ascii="Georgia" w:hAnsi="Georgia"/>
                              <w:sz w:val="18"/>
                              <w:szCs w:val="18"/>
                              <w:lang w:eastAsia="es-E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FE4B04" id="_x0000_t202" coordsize="21600,21600" o:spt="202" path="m,l,21600r21600,l21600,xe">
              <v:stroke joinstyle="miter"/>
              <v:path gradientshapeok="t" o:connecttype="rect"/>
            </v:shapetype>
            <v:shape id="Cuadro de texto 5" o:spid="_x0000_s1028" type="#_x0000_t202" style="position:absolute;left:0;text-align:left;margin-left:203.4pt;margin-top:.9pt;width:191.75pt;height:10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bZ9LQIAAFUEAAAOAAAAZHJzL2Uyb0RvYy54bWysVNtu2zAMfR+wfxD0vviSy1ojTpGlyDAg&#10;aAukQ58VWY4NyKImKbGzrx8lO5d1exr2IlMidUgeHnn+0DWSHIWxNaicJqOYEqE4FLXa5/T76/rT&#10;HSXWMVUwCUrk9CQsfVh8/DBvdSZSqEAWwhAEUTZrdU4r53QWRZZXomF2BFoodJZgGuZwa/ZRYViL&#10;6I2M0jieRS2YQhvgwlo8feyddBHwy1Jw91yWVjgic4q1ubCasO78Gi3mLNsbpquaD2Wwf6iiYbXC&#10;pBeoR+YYOZj6D6im5gYslG7EoYmgLGsuQg/YTRK/62ZbMS1CL0iO1Rea7P+D5U/HrX4xxHVfoMMB&#10;ekJabTOLh76frjSN/2KlBP1I4elCm+gc4XiYTsbT5D6hhKMvGcdJOks9TnS9ro11XwU0xBs5NTiX&#10;QBc7bqzrQ88hPpsFWRfrWsqw8VoQK2nIkeEUpQtFIvhvUVKRNqez8TQOwAr89R5ZKqzl2pS3XLfr&#10;hk53UJyQAAO9Nqzm6xqL3DDrXphBMWDPKHD3jEspAZPAYFFSgfn5t3MfjzNCLyUtiiun9seBGUGJ&#10;/KZwevfJZOLVGDaT6ecUN+bWs7v1qEOzAuwcGcbqgunjnTybpYHmDd/B0mdFF1Mcc+fUnc2V6yWP&#10;74iL5TIEof40cxu11dxDe6b9CF67N2b0MCeHI36CswxZ9m5cfay/qWB5cFDWYZae4J7VgXfUblDD&#10;8M7847jdh6jr32DxCwAA//8DAFBLAwQUAAYACAAAACEA6B+pBOAAAAAJAQAADwAAAGRycy9kb3du&#10;cmV2LnhtbEyPTU+EMBCG7yb+h2ZMvBi3dVFQpGyM8SPx5uJHvHXpCEQ6JbQL+O8dT3qaTJ437zxT&#10;bBbXiwnH0HnScLZSIJBqbztqNLxU96eXIEI0ZE3vCTV8Y4BNeXhQmNz6mZ5x2sZGcAmF3GhoYxxy&#10;KUPdojNh5QckZp9+dCbyOjbSjmbmctfLtVKpdKYjvtCaAW9brL+2e6fh46R5fwrLw+ucXCTD3eNU&#10;ZW+20vr4aLm5BhFxiX9h+NVndSjZaef3ZIPoNZyrlNUjAx7MsyuVgNhpWKs0A1kW8v8H5Q8AAAD/&#10;/wMAUEsBAi0AFAAGAAgAAAAhALaDOJL+AAAA4QEAABMAAAAAAAAAAAAAAAAAAAAAAFtDb250ZW50&#10;X1R5cGVzXS54bWxQSwECLQAUAAYACAAAACEAOP0h/9YAAACUAQAACwAAAAAAAAAAAAAAAAAvAQAA&#10;X3JlbHMvLnJlbHNQSwECLQAUAAYACAAAACEAdWm2fS0CAABVBAAADgAAAAAAAAAAAAAAAAAuAgAA&#10;ZHJzL2Uyb0RvYy54bWxQSwECLQAUAAYACAAAACEA6B+pBOAAAAAJAQAADwAAAAAAAAAAAAAAAACH&#10;BAAAZHJzL2Rvd25yZXYueG1sUEsFBgAAAAAEAAQA8wAAAJQFAAAAAA==&#10;" fillcolor="white [3201]" stroked="f" strokeweight=".5pt">
              <v:textbox>
                <w:txbxContent>
                  <w:p w14:paraId="2A93718D" w14:textId="77777777" w:rsidR="00456756" w:rsidRDefault="00456756" w:rsidP="00BE4E11">
                    <w:pPr>
                      <w:ind w:right="298"/>
                      <w:rPr>
                        <w:rFonts w:ascii="Georgia" w:hAnsi="Georgia"/>
                        <w:b/>
                        <w:bCs/>
                        <w:sz w:val="18"/>
                        <w:szCs w:val="18"/>
                        <w:lang w:eastAsia="es-ES"/>
                      </w:rPr>
                    </w:pPr>
                  </w:p>
                  <w:p w14:paraId="71C3D9F2" w14:textId="169B6BDB" w:rsidR="00BE4E11" w:rsidRDefault="00BE4E11" w:rsidP="00BE4E11">
                    <w:pPr>
                      <w:ind w:right="298"/>
                      <w:rPr>
                        <w:rFonts w:ascii="Georgia" w:hAnsi="Georgia"/>
                        <w:sz w:val="18"/>
                        <w:szCs w:val="18"/>
                        <w:lang w:eastAsia="es-ES"/>
                      </w:rPr>
                    </w:pPr>
                    <w:r>
                      <w:rPr>
                        <w:rFonts w:ascii="Georgia" w:hAnsi="Georgia"/>
                        <w:sz w:val="18"/>
                        <w:szCs w:val="18"/>
                        <w:lang w:eastAsia="es-ES"/>
                      </w:rPr>
                      <w:t xml:space="preserve">Revista </w:t>
                    </w:r>
                    <w:r w:rsidR="00370C5D">
                      <w:rPr>
                        <w:rFonts w:ascii="Georgia" w:hAnsi="Georgia"/>
                        <w:sz w:val="18"/>
                        <w:szCs w:val="18"/>
                        <w:lang w:eastAsia="es-ES"/>
                      </w:rPr>
                      <w:t>Minerva</w:t>
                    </w:r>
                  </w:p>
                  <w:p w14:paraId="1459A1F4" w14:textId="78745D2F" w:rsidR="00456756" w:rsidRPr="00BE4E11" w:rsidRDefault="00456756" w:rsidP="00BE4E11">
                    <w:pPr>
                      <w:ind w:right="298"/>
                      <w:rPr>
                        <w:rFonts w:ascii="Georgia" w:hAnsi="Georgia"/>
                        <w:sz w:val="18"/>
                        <w:szCs w:val="18"/>
                        <w:lang w:eastAsia="es-ES"/>
                      </w:rPr>
                    </w:pPr>
                    <w:r w:rsidRPr="00BE4E11">
                      <w:rPr>
                        <w:rFonts w:ascii="Georgia" w:hAnsi="Georgia"/>
                        <w:sz w:val="18"/>
                        <w:szCs w:val="18"/>
                        <w:lang w:eastAsia="es-ES"/>
                      </w:rPr>
                      <w:t xml:space="preserve">Vol – </w:t>
                    </w:r>
                    <w:r w:rsidR="00B40B05">
                      <w:rPr>
                        <w:rFonts w:ascii="Georgia" w:hAnsi="Georgia"/>
                        <w:sz w:val="18"/>
                        <w:szCs w:val="18"/>
                        <w:lang w:eastAsia="es-ES"/>
                      </w:rPr>
                      <w:t>3</w:t>
                    </w:r>
                    <w:r w:rsidR="006C74D2">
                      <w:rPr>
                        <w:rFonts w:ascii="Georgia" w:hAnsi="Georgia"/>
                        <w:sz w:val="18"/>
                        <w:szCs w:val="18"/>
                        <w:lang w:eastAsia="es-ES"/>
                      </w:rPr>
                      <w:t xml:space="preserve"> </w:t>
                    </w:r>
                    <w:r w:rsidRPr="00BE4E11">
                      <w:rPr>
                        <w:rFonts w:ascii="Georgia" w:hAnsi="Georgia"/>
                        <w:sz w:val="18"/>
                        <w:szCs w:val="18"/>
                        <w:lang w:eastAsia="es-ES"/>
                      </w:rPr>
                      <w:t xml:space="preserve">No. </w:t>
                    </w:r>
                    <w:r w:rsidR="009830CA">
                      <w:rPr>
                        <w:rFonts w:ascii="Georgia" w:hAnsi="Georgia"/>
                        <w:sz w:val="18"/>
                        <w:szCs w:val="18"/>
                        <w:lang w:eastAsia="es-ES"/>
                      </w:rPr>
                      <w:t>5</w:t>
                    </w:r>
                    <w:r w:rsidRPr="00BE4E11">
                      <w:rPr>
                        <w:rFonts w:ascii="Georgia" w:hAnsi="Georgia"/>
                        <w:sz w:val="18"/>
                        <w:szCs w:val="18"/>
                        <w:lang w:eastAsia="es-ES"/>
                      </w:rPr>
                      <w:t xml:space="preserve">, </w:t>
                    </w:r>
                    <w:r w:rsidR="009830CA">
                      <w:rPr>
                        <w:rFonts w:ascii="Georgia" w:hAnsi="Georgia"/>
                        <w:sz w:val="18"/>
                        <w:szCs w:val="18"/>
                        <w:lang w:eastAsia="es-ES"/>
                      </w:rPr>
                      <w:t>julio-</w:t>
                    </w:r>
                    <w:r w:rsidR="004F6A11">
                      <w:rPr>
                        <w:rFonts w:ascii="Georgia" w:hAnsi="Georgia"/>
                        <w:sz w:val="18"/>
                        <w:szCs w:val="18"/>
                        <w:lang w:eastAsia="es-ES"/>
                      </w:rPr>
                      <w:t>diciembre</w:t>
                    </w:r>
                    <w:r w:rsidR="00B40B05">
                      <w:rPr>
                        <w:rFonts w:ascii="Georgia" w:hAnsi="Georgia"/>
                        <w:sz w:val="18"/>
                        <w:szCs w:val="18"/>
                        <w:lang w:eastAsia="es-ES"/>
                      </w:rPr>
                      <w:t xml:space="preserve"> 2022</w:t>
                    </w:r>
                  </w:p>
                  <w:p w14:paraId="4DA6BD4B" w14:textId="593C9A79" w:rsidR="00456756" w:rsidRPr="00BE4E11" w:rsidRDefault="00456756" w:rsidP="00BE4E11">
                    <w:pPr>
                      <w:ind w:right="298"/>
                      <w:rPr>
                        <w:rFonts w:ascii="Georgia" w:hAnsi="Georgia"/>
                        <w:sz w:val="18"/>
                        <w:szCs w:val="18"/>
                        <w:lang w:eastAsia="es-ES"/>
                      </w:rPr>
                    </w:pPr>
                    <w:r w:rsidRPr="00BE4E11">
                      <w:rPr>
                        <w:rFonts w:ascii="Georgia" w:hAnsi="Georgia"/>
                        <w:sz w:val="18"/>
                        <w:szCs w:val="18"/>
                        <w:lang w:eastAsia="es-ES"/>
                      </w:rPr>
                      <w:t xml:space="preserve"> e-ISSN: </w:t>
                    </w:r>
                    <w:r w:rsidR="00B40B05">
                      <w:rPr>
                        <w:rFonts w:ascii="Georgia" w:hAnsi="Georgia"/>
                        <w:sz w:val="18"/>
                        <w:szCs w:val="18"/>
                        <w:lang w:eastAsia="es-ES"/>
                      </w:rPr>
                      <w:t>2953-6316</w:t>
                    </w:r>
                  </w:p>
                  <w:p w14:paraId="16A6FB4E" w14:textId="5835D1EA" w:rsidR="00456756" w:rsidRPr="006425D3" w:rsidRDefault="00D26767" w:rsidP="00BE4E11">
                    <w:pPr>
                      <w:ind w:right="298"/>
                      <w:rPr>
                        <w:rFonts w:ascii="Georgia" w:hAnsi="Georgia"/>
                        <w:sz w:val="18"/>
                        <w:szCs w:val="18"/>
                        <w:lang w:eastAsia="es-ES"/>
                      </w:rPr>
                    </w:pPr>
                    <w:r w:rsidRPr="006425D3">
                      <w:rPr>
                        <w:rFonts w:ascii="Georgia" w:hAnsi="Georgia"/>
                        <w:sz w:val="18"/>
                        <w:szCs w:val="18"/>
                        <w:lang w:eastAsia="es-ES"/>
                      </w:rPr>
                      <w:t>3</w:t>
                    </w:r>
                    <w:r w:rsidR="006D2F4F">
                      <w:rPr>
                        <w:rFonts w:ascii="Georgia" w:hAnsi="Georgia"/>
                        <w:sz w:val="18"/>
                        <w:szCs w:val="18"/>
                        <w:lang w:eastAsia="es-ES"/>
                      </w:rPr>
                      <w:t>6</w:t>
                    </w:r>
                    <w:r w:rsidRPr="006425D3">
                      <w:rPr>
                        <w:rFonts w:ascii="Georgia" w:hAnsi="Georgia"/>
                        <w:sz w:val="18"/>
                        <w:szCs w:val="18"/>
                        <w:lang w:eastAsia="es-ES"/>
                      </w:rPr>
                      <w:t>-5</w:t>
                    </w:r>
                    <w:r w:rsidR="006D2F4F">
                      <w:rPr>
                        <w:rFonts w:ascii="Georgia" w:hAnsi="Georgia"/>
                        <w:sz w:val="18"/>
                        <w:szCs w:val="18"/>
                        <w:lang w:eastAsia="es-ES"/>
                      </w:rPr>
                      <w:t>2</w:t>
                    </w:r>
                  </w:p>
                </w:txbxContent>
              </v:textbox>
            </v:shape>
          </w:pict>
        </mc:Fallback>
      </mc:AlternateContent>
    </w:r>
    <w:r w:rsidRPr="00456756">
      <w:rPr>
        <w:rFonts w:ascii="Georgia" w:hAnsi="Georgia" w:cs="Arial"/>
        <w:noProof/>
      </w:rPr>
      <mc:AlternateContent>
        <mc:Choice Requires="wps">
          <w:drawing>
            <wp:anchor distT="0" distB="0" distL="114300" distR="114300" simplePos="0" relativeHeight="251661312" behindDoc="0" locked="0" layoutInCell="1" allowOverlap="1" wp14:anchorId="118545F5" wp14:editId="791DA59F">
              <wp:simplePos x="0" y="0"/>
              <wp:positionH relativeFrom="column">
                <wp:posOffset>0</wp:posOffset>
              </wp:positionH>
              <wp:positionV relativeFrom="paragraph">
                <wp:posOffset>-635</wp:posOffset>
              </wp:positionV>
              <wp:extent cx="5722374" cy="0"/>
              <wp:effectExtent l="0" t="0" r="5715" b="12700"/>
              <wp:wrapNone/>
              <wp:docPr id="6" name="Conector recto 6"/>
              <wp:cNvGraphicFramePr/>
              <a:graphic xmlns:a="http://schemas.openxmlformats.org/drawingml/2006/main">
                <a:graphicData uri="http://schemas.microsoft.com/office/word/2010/wordprocessingShape">
                  <wps:wsp>
                    <wps:cNvCnPr/>
                    <wps:spPr>
                      <a:xfrm>
                        <a:off x="0" y="0"/>
                        <a:ext cx="57223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55A84C"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5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ynswEAALMDAAAOAAAAZHJzL2Uyb0RvYy54bWysU01v2zAMvQ/YfxB0X+xkWzoYcXpIsV2K&#10;Nui6H6DKVCxUX6C02Pn3o5TEHbaiKIpeJFF6j+QjqdXlaA3bA0btXcvns5ozcNJ32u1a/uv++6dv&#10;nMUkXCeMd9DyA0R+uf74YTWEBha+96YDZOTExWYILe9TCk1VRdmDFXHmAzh6VB6tSGTirupQDOTd&#10;mmpR18tq8NgF9BJipNur4yNfF/9KgUy3SkVIzLSccktlxbI+5LVar0SzQxF6LU9piDdkYYV2FHRy&#10;dSWSYL9R/+fKaok+epVm0tvKK6UlFA2kZl7/o+ZnLwIULVScGKYyxfdzK2/2W2S6a/mSMycstWhD&#10;jZLJI8O8sWWu0RBiQ9CN2+LJimGLWfCo0OadpLCx1PUw1RXGxCRdfr1YLD5ffOFMnt+qJ2LAmH6A&#10;tywfWm60y5JFI/bXMVEwgp4hZOREjqHLKR0MZLBxd6BIBgWbF3YZINgYZHtBre8e51kG+SrITFHa&#10;mIlUv0w6YTMNylC9ljihS0Tv0kS02nl8Lmoaz6mqI/6s+qg1y37w3aE0opSDJqMoO01xHr2/7UJ/&#10;+mvrPwAAAP//AwBQSwMEFAAGAAgAAAAhAJwZSYLeAAAACQEAAA8AAABkcnMvZG93bnJldi54bWxM&#10;jzFPwzAQhXck/oN1lbq1Tjq0JY1TVRSmMoTAwOjGRxI1Pkexm6T8eg4WWE56enrv3pfuJ9uKAXvf&#10;OFIQLyMQSKUzDVUK3t+eF1sQPmgyunWECm7oYZ/d36U6MW6kVxyKUAkuIZ9oBXUIXSKlL2u02i9d&#10;h8Tep+utDiz7Sppej1xuW7mKorW0uiH+UOsOH2ssL8XVKtg8nYq8G48vX7ncyDwfXNhePpSaz6bj&#10;js9hByLgFP4S8MPA+yHjYWd3JeNFq4BpgoJFDILNhyhegTj/apml8j9B9g0AAP//AwBQSwECLQAU&#10;AAYACAAAACEAtoM4kv4AAADhAQAAEwAAAAAAAAAAAAAAAAAAAAAAW0NvbnRlbnRfVHlwZXNdLnht&#10;bFBLAQItABQABgAIAAAAIQA4/SH/1gAAAJQBAAALAAAAAAAAAAAAAAAAAC8BAABfcmVscy8ucmVs&#10;c1BLAQItABQABgAIAAAAIQCndoynswEAALMDAAAOAAAAAAAAAAAAAAAAAC4CAABkcnMvZTJvRG9j&#10;LnhtbFBLAQItABQABgAIAAAAIQCcGUmC3gAAAAkBAAAPAAAAAAAAAAAAAAAAAA0EAABkcnMvZG93&#10;bnJldi54bWxQSwUGAAAAAAQABADzAAAAGAU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FE3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8336B"/>
    <w:multiLevelType w:val="hybridMultilevel"/>
    <w:tmpl w:val="7F68373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22E55E93"/>
    <w:multiLevelType w:val="hybridMultilevel"/>
    <w:tmpl w:val="CF52164A"/>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33877828"/>
    <w:multiLevelType w:val="hybridMultilevel"/>
    <w:tmpl w:val="92E60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A556DE"/>
    <w:multiLevelType w:val="hybridMultilevel"/>
    <w:tmpl w:val="38A6A31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16cid:durableId="332493108">
    <w:abstractNumId w:val="1"/>
  </w:num>
  <w:num w:numId="2" w16cid:durableId="2025474410">
    <w:abstractNumId w:val="4"/>
  </w:num>
  <w:num w:numId="3" w16cid:durableId="1632202130">
    <w:abstractNumId w:val="0"/>
  </w:num>
  <w:num w:numId="4" w16cid:durableId="1098017178">
    <w:abstractNumId w:val="2"/>
  </w:num>
  <w:num w:numId="5" w16cid:durableId="1051925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13"/>
    <w:rsid w:val="00007DD5"/>
    <w:rsid w:val="000660A0"/>
    <w:rsid w:val="00070803"/>
    <w:rsid w:val="00083F5B"/>
    <w:rsid w:val="00091411"/>
    <w:rsid w:val="0009607A"/>
    <w:rsid w:val="000978F7"/>
    <w:rsid w:val="000C233F"/>
    <w:rsid w:val="000C401E"/>
    <w:rsid w:val="000C4CF7"/>
    <w:rsid w:val="000E16E2"/>
    <w:rsid w:val="000E4462"/>
    <w:rsid w:val="00151052"/>
    <w:rsid w:val="001703E5"/>
    <w:rsid w:val="00170ABC"/>
    <w:rsid w:val="0018183F"/>
    <w:rsid w:val="001B45D7"/>
    <w:rsid w:val="001C1A82"/>
    <w:rsid w:val="001E631C"/>
    <w:rsid w:val="001F3790"/>
    <w:rsid w:val="001F47E8"/>
    <w:rsid w:val="00204373"/>
    <w:rsid w:val="002161CE"/>
    <w:rsid w:val="00236164"/>
    <w:rsid w:val="002363EA"/>
    <w:rsid w:val="00291F42"/>
    <w:rsid w:val="002A0422"/>
    <w:rsid w:val="002A79DC"/>
    <w:rsid w:val="002F0328"/>
    <w:rsid w:val="00310F63"/>
    <w:rsid w:val="00312376"/>
    <w:rsid w:val="0031616A"/>
    <w:rsid w:val="00345C1B"/>
    <w:rsid w:val="00366D44"/>
    <w:rsid w:val="00370C5D"/>
    <w:rsid w:val="00390551"/>
    <w:rsid w:val="00392B43"/>
    <w:rsid w:val="003A466C"/>
    <w:rsid w:val="003A61FC"/>
    <w:rsid w:val="003C5E37"/>
    <w:rsid w:val="003C7409"/>
    <w:rsid w:val="003D2658"/>
    <w:rsid w:val="003D2F4E"/>
    <w:rsid w:val="003D4813"/>
    <w:rsid w:val="003D5807"/>
    <w:rsid w:val="003D683F"/>
    <w:rsid w:val="003F39F7"/>
    <w:rsid w:val="003F5110"/>
    <w:rsid w:val="003F6DDA"/>
    <w:rsid w:val="00403034"/>
    <w:rsid w:val="004231EF"/>
    <w:rsid w:val="00443E09"/>
    <w:rsid w:val="004556C9"/>
    <w:rsid w:val="00456756"/>
    <w:rsid w:val="00463DB8"/>
    <w:rsid w:val="00472A3A"/>
    <w:rsid w:val="004857E0"/>
    <w:rsid w:val="00487DDB"/>
    <w:rsid w:val="004A1F49"/>
    <w:rsid w:val="004B1853"/>
    <w:rsid w:val="004B2A07"/>
    <w:rsid w:val="004B3BC8"/>
    <w:rsid w:val="004C236B"/>
    <w:rsid w:val="004E4753"/>
    <w:rsid w:val="004F601A"/>
    <w:rsid w:val="004F6A11"/>
    <w:rsid w:val="005001F9"/>
    <w:rsid w:val="00510C4C"/>
    <w:rsid w:val="0051763F"/>
    <w:rsid w:val="00526B9C"/>
    <w:rsid w:val="00537BC6"/>
    <w:rsid w:val="00571B54"/>
    <w:rsid w:val="00580524"/>
    <w:rsid w:val="005B117F"/>
    <w:rsid w:val="005C17DA"/>
    <w:rsid w:val="005C4DD0"/>
    <w:rsid w:val="005C5849"/>
    <w:rsid w:val="005C7403"/>
    <w:rsid w:val="005F0390"/>
    <w:rsid w:val="005F5421"/>
    <w:rsid w:val="00603C33"/>
    <w:rsid w:val="0061625E"/>
    <w:rsid w:val="00633350"/>
    <w:rsid w:val="006425D3"/>
    <w:rsid w:val="00644D01"/>
    <w:rsid w:val="00662FD8"/>
    <w:rsid w:val="0066633F"/>
    <w:rsid w:val="006761A2"/>
    <w:rsid w:val="006A2F4C"/>
    <w:rsid w:val="006A448D"/>
    <w:rsid w:val="006C36CA"/>
    <w:rsid w:val="006C70C4"/>
    <w:rsid w:val="006C74D2"/>
    <w:rsid w:val="006D1CD2"/>
    <w:rsid w:val="006D2F4F"/>
    <w:rsid w:val="006E5AA4"/>
    <w:rsid w:val="006F0FE3"/>
    <w:rsid w:val="00701154"/>
    <w:rsid w:val="00705813"/>
    <w:rsid w:val="00714AEB"/>
    <w:rsid w:val="00727AAB"/>
    <w:rsid w:val="00757C9A"/>
    <w:rsid w:val="00762E61"/>
    <w:rsid w:val="00780386"/>
    <w:rsid w:val="00784498"/>
    <w:rsid w:val="00795363"/>
    <w:rsid w:val="007A6B31"/>
    <w:rsid w:val="007B3D9F"/>
    <w:rsid w:val="007B498F"/>
    <w:rsid w:val="007C2FBD"/>
    <w:rsid w:val="007C486C"/>
    <w:rsid w:val="007D48EF"/>
    <w:rsid w:val="007E43A8"/>
    <w:rsid w:val="007E6947"/>
    <w:rsid w:val="00801E2B"/>
    <w:rsid w:val="00807876"/>
    <w:rsid w:val="00834DE5"/>
    <w:rsid w:val="0085618B"/>
    <w:rsid w:val="00886BCC"/>
    <w:rsid w:val="00893EDD"/>
    <w:rsid w:val="008A6648"/>
    <w:rsid w:val="008B6367"/>
    <w:rsid w:val="008B6DAF"/>
    <w:rsid w:val="008C7596"/>
    <w:rsid w:val="008F4DCC"/>
    <w:rsid w:val="00922BF0"/>
    <w:rsid w:val="009235D4"/>
    <w:rsid w:val="0093762E"/>
    <w:rsid w:val="00945F07"/>
    <w:rsid w:val="0094623B"/>
    <w:rsid w:val="00963B5F"/>
    <w:rsid w:val="009830CA"/>
    <w:rsid w:val="009F00EE"/>
    <w:rsid w:val="009F0FAE"/>
    <w:rsid w:val="00A02B25"/>
    <w:rsid w:val="00A34052"/>
    <w:rsid w:val="00A51E9C"/>
    <w:rsid w:val="00A76CFB"/>
    <w:rsid w:val="00A80FBE"/>
    <w:rsid w:val="00AB00D3"/>
    <w:rsid w:val="00AB0E5D"/>
    <w:rsid w:val="00AB3EBC"/>
    <w:rsid w:val="00AB63D3"/>
    <w:rsid w:val="00AD56DF"/>
    <w:rsid w:val="00B05BB1"/>
    <w:rsid w:val="00B069C6"/>
    <w:rsid w:val="00B11EE5"/>
    <w:rsid w:val="00B22BBE"/>
    <w:rsid w:val="00B34EC1"/>
    <w:rsid w:val="00B37246"/>
    <w:rsid w:val="00B40B05"/>
    <w:rsid w:val="00B518F0"/>
    <w:rsid w:val="00B51B1E"/>
    <w:rsid w:val="00BB7988"/>
    <w:rsid w:val="00BD0B3F"/>
    <w:rsid w:val="00BE4E11"/>
    <w:rsid w:val="00BF0D26"/>
    <w:rsid w:val="00BF48B0"/>
    <w:rsid w:val="00C072F8"/>
    <w:rsid w:val="00C207D3"/>
    <w:rsid w:val="00C2409B"/>
    <w:rsid w:val="00C365BE"/>
    <w:rsid w:val="00C41547"/>
    <w:rsid w:val="00C53D1A"/>
    <w:rsid w:val="00C54EAC"/>
    <w:rsid w:val="00C56ACC"/>
    <w:rsid w:val="00C62386"/>
    <w:rsid w:val="00C76409"/>
    <w:rsid w:val="00CA36AC"/>
    <w:rsid w:val="00CA607D"/>
    <w:rsid w:val="00CE2B06"/>
    <w:rsid w:val="00CF00F1"/>
    <w:rsid w:val="00D06C8F"/>
    <w:rsid w:val="00D14F4E"/>
    <w:rsid w:val="00D26767"/>
    <w:rsid w:val="00D27B76"/>
    <w:rsid w:val="00D305DE"/>
    <w:rsid w:val="00D30D7D"/>
    <w:rsid w:val="00D443BB"/>
    <w:rsid w:val="00D52B3F"/>
    <w:rsid w:val="00D951EF"/>
    <w:rsid w:val="00DC0481"/>
    <w:rsid w:val="00DC2BCF"/>
    <w:rsid w:val="00DC3240"/>
    <w:rsid w:val="00DC6973"/>
    <w:rsid w:val="00DD1C79"/>
    <w:rsid w:val="00DD3589"/>
    <w:rsid w:val="00DD6AF0"/>
    <w:rsid w:val="00DE050C"/>
    <w:rsid w:val="00E0492F"/>
    <w:rsid w:val="00E04ACE"/>
    <w:rsid w:val="00E20EC3"/>
    <w:rsid w:val="00E31EFA"/>
    <w:rsid w:val="00E5081C"/>
    <w:rsid w:val="00E5710A"/>
    <w:rsid w:val="00E72623"/>
    <w:rsid w:val="00E81C0A"/>
    <w:rsid w:val="00E93E44"/>
    <w:rsid w:val="00EA0507"/>
    <w:rsid w:val="00EA29EC"/>
    <w:rsid w:val="00EA7DD6"/>
    <w:rsid w:val="00EC14C3"/>
    <w:rsid w:val="00ED57A7"/>
    <w:rsid w:val="00ED72DE"/>
    <w:rsid w:val="00EF23E6"/>
    <w:rsid w:val="00EF5EBF"/>
    <w:rsid w:val="00F0010E"/>
    <w:rsid w:val="00F01E3E"/>
    <w:rsid w:val="00F1310A"/>
    <w:rsid w:val="00F21CCE"/>
    <w:rsid w:val="00F23942"/>
    <w:rsid w:val="00F33CDE"/>
    <w:rsid w:val="00F410EA"/>
    <w:rsid w:val="00F53B99"/>
    <w:rsid w:val="00F71D6A"/>
    <w:rsid w:val="00F77B72"/>
    <w:rsid w:val="00F945EC"/>
    <w:rsid w:val="00FC160F"/>
    <w:rsid w:val="00FD59CF"/>
    <w:rsid w:val="00FE0172"/>
    <w:rsid w:val="00FF0513"/>
    <w:rsid w:val="00FF19E5"/>
    <w:rsid w:val="00FF6D45"/>
    <w:rsid w:val="00FF6D8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35E9D"/>
  <w15:docId w15:val="{EBD086E3-D339-0A4E-83B6-8E8F3C9D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39F7"/>
    <w:pPr>
      <w:spacing w:after="0" w:line="240" w:lineRule="auto"/>
    </w:pPr>
    <w:rPr>
      <w:rFonts w:ascii="Times New Roman" w:eastAsia="Times New Roman" w:hAnsi="Times New Roman" w:cs="Times New Roman"/>
      <w:sz w:val="24"/>
      <w:szCs w:val="24"/>
      <w:lang w:val="es-EC" w:eastAsia="es-MX"/>
    </w:rPr>
  </w:style>
  <w:style w:type="paragraph" w:styleId="Ttulo2">
    <w:name w:val="heading 2"/>
    <w:basedOn w:val="Normal"/>
    <w:next w:val="Normal"/>
    <w:link w:val="Ttulo2Car"/>
    <w:uiPriority w:val="9"/>
    <w:unhideWhenUsed/>
    <w:qFormat/>
    <w:rsid w:val="006C70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1A82"/>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714AEB"/>
    <w:rPr>
      <w:color w:val="0000FF" w:themeColor="hyperlink"/>
      <w:u w:val="single"/>
    </w:rPr>
  </w:style>
  <w:style w:type="paragraph" w:styleId="Prrafodelista">
    <w:name w:val="List Paragraph"/>
    <w:basedOn w:val="Normal"/>
    <w:uiPriority w:val="34"/>
    <w:qFormat/>
    <w:rsid w:val="004A1F49"/>
    <w:pPr>
      <w:spacing w:after="160" w:line="259" w:lineRule="auto"/>
      <w:ind w:left="720"/>
      <w:contextualSpacing/>
    </w:pPr>
    <w:rPr>
      <w:rFonts w:asciiTheme="minorHAnsi" w:hAnsiTheme="minorHAnsi" w:cstheme="minorBidi"/>
      <w:sz w:val="22"/>
      <w:szCs w:val="22"/>
      <w:lang w:val="es-VE" w:eastAsia="en-US"/>
    </w:rPr>
  </w:style>
  <w:style w:type="character" w:styleId="CitaHTML">
    <w:name w:val="HTML Cite"/>
    <w:basedOn w:val="Fuentedeprrafopredeter"/>
    <w:uiPriority w:val="99"/>
    <w:semiHidden/>
    <w:unhideWhenUsed/>
    <w:rsid w:val="00AB63D3"/>
    <w:rPr>
      <w:i/>
      <w:iCs/>
    </w:rPr>
  </w:style>
  <w:style w:type="character" w:styleId="Refdecomentario">
    <w:name w:val="annotation reference"/>
    <w:basedOn w:val="Fuentedeprrafopredeter"/>
    <w:uiPriority w:val="99"/>
    <w:semiHidden/>
    <w:unhideWhenUsed/>
    <w:rsid w:val="00E81C0A"/>
    <w:rPr>
      <w:sz w:val="18"/>
      <w:szCs w:val="18"/>
    </w:rPr>
  </w:style>
  <w:style w:type="paragraph" w:styleId="Textocomentario">
    <w:name w:val="annotation text"/>
    <w:basedOn w:val="Normal"/>
    <w:link w:val="TextocomentarioCar"/>
    <w:uiPriority w:val="99"/>
    <w:semiHidden/>
    <w:unhideWhenUsed/>
    <w:rsid w:val="00E81C0A"/>
    <w:pPr>
      <w:spacing w:after="200"/>
    </w:pPr>
    <w:rPr>
      <w:rFonts w:asciiTheme="minorHAnsi" w:hAnsiTheme="minorHAnsi" w:cstheme="minorBidi"/>
      <w:lang w:val="es-VE" w:eastAsia="en-US"/>
    </w:rPr>
  </w:style>
  <w:style w:type="character" w:customStyle="1" w:styleId="TextocomentarioCar">
    <w:name w:val="Texto comentario Car"/>
    <w:basedOn w:val="Fuentedeprrafopredeter"/>
    <w:link w:val="Textocomentario"/>
    <w:uiPriority w:val="99"/>
    <w:semiHidden/>
    <w:rsid w:val="00E81C0A"/>
    <w:rPr>
      <w:sz w:val="24"/>
      <w:szCs w:val="24"/>
    </w:rPr>
  </w:style>
  <w:style w:type="paragraph" w:styleId="Asuntodelcomentario">
    <w:name w:val="annotation subject"/>
    <w:basedOn w:val="Textocomentario"/>
    <w:next w:val="Textocomentario"/>
    <w:link w:val="AsuntodelcomentarioCar"/>
    <w:uiPriority w:val="99"/>
    <w:semiHidden/>
    <w:unhideWhenUsed/>
    <w:rsid w:val="00E81C0A"/>
    <w:rPr>
      <w:b/>
      <w:bCs/>
      <w:sz w:val="20"/>
      <w:szCs w:val="20"/>
    </w:rPr>
  </w:style>
  <w:style w:type="character" w:customStyle="1" w:styleId="AsuntodelcomentarioCar">
    <w:name w:val="Asunto del comentario Car"/>
    <w:basedOn w:val="TextocomentarioCar"/>
    <w:link w:val="Asuntodelcomentario"/>
    <w:uiPriority w:val="99"/>
    <w:semiHidden/>
    <w:rsid w:val="00E81C0A"/>
    <w:rPr>
      <w:b/>
      <w:bCs/>
      <w:sz w:val="20"/>
      <w:szCs w:val="20"/>
    </w:rPr>
  </w:style>
  <w:style w:type="paragraph" w:styleId="Textodeglobo">
    <w:name w:val="Balloon Text"/>
    <w:basedOn w:val="Normal"/>
    <w:link w:val="TextodegloboCar"/>
    <w:uiPriority w:val="99"/>
    <w:semiHidden/>
    <w:unhideWhenUsed/>
    <w:rsid w:val="00E81C0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81C0A"/>
    <w:rPr>
      <w:rFonts w:ascii="Lucida Grande" w:hAnsi="Lucida Grande" w:cs="Lucida Grande"/>
      <w:sz w:val="18"/>
      <w:szCs w:val="18"/>
    </w:rPr>
  </w:style>
  <w:style w:type="paragraph" w:styleId="HTMLconformatoprevio">
    <w:name w:val="HTML Preformatted"/>
    <w:basedOn w:val="Normal"/>
    <w:link w:val="HTMLconformatoprevioCar"/>
    <w:uiPriority w:val="99"/>
    <w:unhideWhenUsed/>
    <w:rsid w:val="003D4813"/>
    <w:rPr>
      <w:rFonts w:ascii="Consolas" w:hAnsi="Consolas" w:cs="Consolas"/>
      <w:sz w:val="20"/>
      <w:szCs w:val="20"/>
      <w:lang w:val="es-VE" w:eastAsia="en-US"/>
    </w:rPr>
  </w:style>
  <w:style w:type="character" w:customStyle="1" w:styleId="HTMLconformatoprevioCar">
    <w:name w:val="HTML con formato previo Car"/>
    <w:basedOn w:val="Fuentedeprrafopredeter"/>
    <w:link w:val="HTMLconformatoprevio"/>
    <w:uiPriority w:val="99"/>
    <w:rsid w:val="003D4813"/>
    <w:rPr>
      <w:rFonts w:ascii="Consolas" w:hAnsi="Consolas" w:cs="Consolas"/>
      <w:sz w:val="20"/>
      <w:szCs w:val="20"/>
    </w:rPr>
  </w:style>
  <w:style w:type="paragraph" w:styleId="Encabezado">
    <w:name w:val="header"/>
    <w:basedOn w:val="Normal"/>
    <w:link w:val="EncabezadoCar"/>
    <w:uiPriority w:val="99"/>
    <w:unhideWhenUsed/>
    <w:rsid w:val="003A466C"/>
    <w:pPr>
      <w:tabs>
        <w:tab w:val="center" w:pos="4252"/>
        <w:tab w:val="right" w:pos="8504"/>
      </w:tabs>
    </w:pPr>
    <w:rPr>
      <w:rFonts w:asciiTheme="minorHAnsi" w:hAnsiTheme="minorHAnsi" w:cstheme="minorBidi"/>
      <w:sz w:val="22"/>
      <w:szCs w:val="22"/>
      <w:lang w:val="es-VE" w:eastAsia="en-US"/>
    </w:rPr>
  </w:style>
  <w:style w:type="character" w:customStyle="1" w:styleId="EncabezadoCar">
    <w:name w:val="Encabezado Car"/>
    <w:basedOn w:val="Fuentedeprrafopredeter"/>
    <w:link w:val="Encabezado"/>
    <w:uiPriority w:val="99"/>
    <w:rsid w:val="003A466C"/>
  </w:style>
  <w:style w:type="paragraph" w:styleId="Piedepgina">
    <w:name w:val="footer"/>
    <w:basedOn w:val="Normal"/>
    <w:link w:val="PiedepginaCar"/>
    <w:uiPriority w:val="99"/>
    <w:unhideWhenUsed/>
    <w:rsid w:val="003A466C"/>
    <w:pPr>
      <w:tabs>
        <w:tab w:val="center" w:pos="4252"/>
        <w:tab w:val="right" w:pos="8504"/>
      </w:tabs>
    </w:pPr>
    <w:rPr>
      <w:rFonts w:asciiTheme="minorHAnsi" w:hAnsiTheme="minorHAnsi" w:cstheme="minorBidi"/>
      <w:sz w:val="22"/>
      <w:szCs w:val="22"/>
      <w:lang w:val="es-VE" w:eastAsia="en-US"/>
    </w:rPr>
  </w:style>
  <w:style w:type="character" w:customStyle="1" w:styleId="PiedepginaCar">
    <w:name w:val="Pie de página Car"/>
    <w:basedOn w:val="Fuentedeprrafopredeter"/>
    <w:link w:val="Piedepgina"/>
    <w:uiPriority w:val="99"/>
    <w:rsid w:val="003A466C"/>
  </w:style>
  <w:style w:type="character" w:styleId="Nmerodepgina">
    <w:name w:val="page number"/>
    <w:basedOn w:val="Fuentedeprrafopredeter"/>
    <w:uiPriority w:val="99"/>
    <w:semiHidden/>
    <w:unhideWhenUsed/>
    <w:rsid w:val="00F1310A"/>
  </w:style>
  <w:style w:type="character" w:styleId="Hipervnculovisitado">
    <w:name w:val="FollowedHyperlink"/>
    <w:basedOn w:val="Fuentedeprrafopredeter"/>
    <w:uiPriority w:val="99"/>
    <w:semiHidden/>
    <w:unhideWhenUsed/>
    <w:rsid w:val="001B45D7"/>
    <w:rPr>
      <w:color w:val="800080" w:themeColor="followedHyperlink"/>
      <w:u w:val="single"/>
    </w:rPr>
  </w:style>
  <w:style w:type="character" w:customStyle="1" w:styleId="A4">
    <w:name w:val="A4"/>
    <w:uiPriority w:val="99"/>
    <w:rsid w:val="00DC3240"/>
    <w:rPr>
      <w:rFonts w:cs="Myriad Pro"/>
      <w:color w:val="000000"/>
      <w:sz w:val="23"/>
      <w:szCs w:val="23"/>
    </w:rPr>
  </w:style>
  <w:style w:type="character" w:customStyle="1" w:styleId="A6">
    <w:name w:val="A6"/>
    <w:uiPriority w:val="99"/>
    <w:rsid w:val="00DC3240"/>
    <w:rPr>
      <w:rFonts w:cs="Book Antiqua"/>
      <w:color w:val="000000"/>
      <w:sz w:val="20"/>
      <w:szCs w:val="20"/>
    </w:rPr>
  </w:style>
  <w:style w:type="character" w:customStyle="1" w:styleId="jlqj4b">
    <w:name w:val="jlqj4b"/>
    <w:basedOn w:val="Fuentedeprrafopredeter"/>
    <w:rsid w:val="003F39F7"/>
  </w:style>
  <w:style w:type="paragraph" w:styleId="Bibliografa">
    <w:name w:val="Bibliography"/>
    <w:basedOn w:val="Normal"/>
    <w:next w:val="Normal"/>
    <w:uiPriority w:val="37"/>
    <w:unhideWhenUsed/>
    <w:rsid w:val="003F39F7"/>
  </w:style>
  <w:style w:type="character" w:customStyle="1" w:styleId="Ttulo2Car">
    <w:name w:val="Título 2 Car"/>
    <w:basedOn w:val="Fuentedeprrafopredeter"/>
    <w:link w:val="Ttulo2"/>
    <w:uiPriority w:val="9"/>
    <w:rsid w:val="006C70C4"/>
    <w:rPr>
      <w:rFonts w:asciiTheme="majorHAnsi" w:eastAsiaTheme="majorEastAsia" w:hAnsiTheme="majorHAnsi" w:cstheme="majorBidi"/>
      <w:color w:val="365F91" w:themeColor="accent1" w:themeShade="BF"/>
      <w:sz w:val="26"/>
      <w:szCs w:val="26"/>
      <w:lang w:val="es-EC" w:eastAsia="es-MX"/>
    </w:rPr>
  </w:style>
  <w:style w:type="character" w:styleId="Mencinsinresolver">
    <w:name w:val="Unresolved Mention"/>
    <w:basedOn w:val="Fuentedeprrafopredeter"/>
    <w:uiPriority w:val="99"/>
    <w:rsid w:val="00E72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57">
      <w:bodyDiv w:val="1"/>
      <w:marLeft w:val="0"/>
      <w:marRight w:val="0"/>
      <w:marTop w:val="0"/>
      <w:marBottom w:val="0"/>
      <w:divBdr>
        <w:top w:val="none" w:sz="0" w:space="0" w:color="auto"/>
        <w:left w:val="none" w:sz="0" w:space="0" w:color="auto"/>
        <w:bottom w:val="none" w:sz="0" w:space="0" w:color="auto"/>
        <w:right w:val="none" w:sz="0" w:space="0" w:color="auto"/>
      </w:divBdr>
    </w:div>
    <w:div w:id="30081791">
      <w:bodyDiv w:val="1"/>
      <w:marLeft w:val="0"/>
      <w:marRight w:val="0"/>
      <w:marTop w:val="0"/>
      <w:marBottom w:val="0"/>
      <w:divBdr>
        <w:top w:val="none" w:sz="0" w:space="0" w:color="auto"/>
        <w:left w:val="none" w:sz="0" w:space="0" w:color="auto"/>
        <w:bottom w:val="none" w:sz="0" w:space="0" w:color="auto"/>
        <w:right w:val="none" w:sz="0" w:space="0" w:color="auto"/>
      </w:divBdr>
    </w:div>
    <w:div w:id="198856065">
      <w:bodyDiv w:val="1"/>
      <w:marLeft w:val="0"/>
      <w:marRight w:val="0"/>
      <w:marTop w:val="0"/>
      <w:marBottom w:val="0"/>
      <w:divBdr>
        <w:top w:val="none" w:sz="0" w:space="0" w:color="auto"/>
        <w:left w:val="none" w:sz="0" w:space="0" w:color="auto"/>
        <w:bottom w:val="none" w:sz="0" w:space="0" w:color="auto"/>
        <w:right w:val="none" w:sz="0" w:space="0" w:color="auto"/>
      </w:divBdr>
    </w:div>
    <w:div w:id="332806863">
      <w:bodyDiv w:val="1"/>
      <w:marLeft w:val="0"/>
      <w:marRight w:val="0"/>
      <w:marTop w:val="0"/>
      <w:marBottom w:val="0"/>
      <w:divBdr>
        <w:top w:val="none" w:sz="0" w:space="0" w:color="auto"/>
        <w:left w:val="none" w:sz="0" w:space="0" w:color="auto"/>
        <w:bottom w:val="none" w:sz="0" w:space="0" w:color="auto"/>
        <w:right w:val="none" w:sz="0" w:space="0" w:color="auto"/>
      </w:divBdr>
    </w:div>
    <w:div w:id="388191375">
      <w:bodyDiv w:val="1"/>
      <w:marLeft w:val="0"/>
      <w:marRight w:val="0"/>
      <w:marTop w:val="0"/>
      <w:marBottom w:val="0"/>
      <w:divBdr>
        <w:top w:val="none" w:sz="0" w:space="0" w:color="auto"/>
        <w:left w:val="none" w:sz="0" w:space="0" w:color="auto"/>
        <w:bottom w:val="none" w:sz="0" w:space="0" w:color="auto"/>
        <w:right w:val="none" w:sz="0" w:space="0" w:color="auto"/>
      </w:divBdr>
    </w:div>
    <w:div w:id="470706771">
      <w:bodyDiv w:val="1"/>
      <w:marLeft w:val="0"/>
      <w:marRight w:val="0"/>
      <w:marTop w:val="0"/>
      <w:marBottom w:val="0"/>
      <w:divBdr>
        <w:top w:val="none" w:sz="0" w:space="0" w:color="auto"/>
        <w:left w:val="none" w:sz="0" w:space="0" w:color="auto"/>
        <w:bottom w:val="none" w:sz="0" w:space="0" w:color="auto"/>
        <w:right w:val="none" w:sz="0" w:space="0" w:color="auto"/>
      </w:divBdr>
    </w:div>
    <w:div w:id="656107303">
      <w:bodyDiv w:val="1"/>
      <w:marLeft w:val="0"/>
      <w:marRight w:val="0"/>
      <w:marTop w:val="0"/>
      <w:marBottom w:val="0"/>
      <w:divBdr>
        <w:top w:val="none" w:sz="0" w:space="0" w:color="auto"/>
        <w:left w:val="none" w:sz="0" w:space="0" w:color="auto"/>
        <w:bottom w:val="none" w:sz="0" w:space="0" w:color="auto"/>
        <w:right w:val="none" w:sz="0" w:space="0" w:color="auto"/>
      </w:divBdr>
    </w:div>
    <w:div w:id="938105796">
      <w:bodyDiv w:val="1"/>
      <w:marLeft w:val="0"/>
      <w:marRight w:val="0"/>
      <w:marTop w:val="0"/>
      <w:marBottom w:val="0"/>
      <w:divBdr>
        <w:top w:val="none" w:sz="0" w:space="0" w:color="auto"/>
        <w:left w:val="none" w:sz="0" w:space="0" w:color="auto"/>
        <w:bottom w:val="none" w:sz="0" w:space="0" w:color="auto"/>
        <w:right w:val="none" w:sz="0" w:space="0" w:color="auto"/>
      </w:divBdr>
    </w:div>
    <w:div w:id="1076510962">
      <w:bodyDiv w:val="1"/>
      <w:marLeft w:val="0"/>
      <w:marRight w:val="0"/>
      <w:marTop w:val="0"/>
      <w:marBottom w:val="0"/>
      <w:divBdr>
        <w:top w:val="none" w:sz="0" w:space="0" w:color="auto"/>
        <w:left w:val="none" w:sz="0" w:space="0" w:color="auto"/>
        <w:bottom w:val="none" w:sz="0" w:space="0" w:color="auto"/>
        <w:right w:val="none" w:sz="0" w:space="0" w:color="auto"/>
      </w:divBdr>
    </w:div>
    <w:div w:id="1295912718">
      <w:bodyDiv w:val="1"/>
      <w:marLeft w:val="0"/>
      <w:marRight w:val="0"/>
      <w:marTop w:val="0"/>
      <w:marBottom w:val="0"/>
      <w:divBdr>
        <w:top w:val="none" w:sz="0" w:space="0" w:color="auto"/>
        <w:left w:val="none" w:sz="0" w:space="0" w:color="auto"/>
        <w:bottom w:val="none" w:sz="0" w:space="0" w:color="auto"/>
        <w:right w:val="none" w:sz="0" w:space="0" w:color="auto"/>
      </w:divBdr>
      <w:divsChild>
        <w:div w:id="1705246728">
          <w:marLeft w:val="0"/>
          <w:marRight w:val="0"/>
          <w:marTop w:val="0"/>
          <w:marBottom w:val="0"/>
          <w:divBdr>
            <w:top w:val="none" w:sz="0" w:space="0" w:color="auto"/>
            <w:left w:val="none" w:sz="0" w:space="0" w:color="auto"/>
            <w:bottom w:val="none" w:sz="0" w:space="0" w:color="auto"/>
            <w:right w:val="none" w:sz="0" w:space="0" w:color="auto"/>
          </w:divBdr>
          <w:divsChild>
            <w:div w:id="682245691">
              <w:marLeft w:val="0"/>
              <w:marRight w:val="0"/>
              <w:marTop w:val="0"/>
              <w:marBottom w:val="0"/>
              <w:divBdr>
                <w:top w:val="none" w:sz="0" w:space="0" w:color="auto"/>
                <w:left w:val="none" w:sz="0" w:space="0" w:color="auto"/>
                <w:bottom w:val="none" w:sz="0" w:space="0" w:color="auto"/>
                <w:right w:val="none" w:sz="0" w:space="0" w:color="auto"/>
              </w:divBdr>
              <w:divsChild>
                <w:div w:id="288098642">
                  <w:marLeft w:val="0"/>
                  <w:marRight w:val="0"/>
                  <w:marTop w:val="0"/>
                  <w:marBottom w:val="0"/>
                  <w:divBdr>
                    <w:top w:val="none" w:sz="0" w:space="0" w:color="auto"/>
                    <w:left w:val="none" w:sz="0" w:space="0" w:color="auto"/>
                    <w:bottom w:val="none" w:sz="0" w:space="0" w:color="auto"/>
                    <w:right w:val="none" w:sz="0" w:space="0" w:color="auto"/>
                  </w:divBdr>
                  <w:divsChild>
                    <w:div w:id="928777560">
                      <w:marLeft w:val="0"/>
                      <w:marRight w:val="0"/>
                      <w:marTop w:val="45"/>
                      <w:marBottom w:val="0"/>
                      <w:divBdr>
                        <w:top w:val="none" w:sz="0" w:space="0" w:color="auto"/>
                        <w:left w:val="none" w:sz="0" w:space="0" w:color="auto"/>
                        <w:bottom w:val="none" w:sz="0" w:space="0" w:color="auto"/>
                        <w:right w:val="none" w:sz="0" w:space="0" w:color="auto"/>
                      </w:divBdr>
                      <w:divsChild>
                        <w:div w:id="2075426059">
                          <w:marLeft w:val="0"/>
                          <w:marRight w:val="0"/>
                          <w:marTop w:val="0"/>
                          <w:marBottom w:val="0"/>
                          <w:divBdr>
                            <w:top w:val="none" w:sz="0" w:space="0" w:color="auto"/>
                            <w:left w:val="none" w:sz="0" w:space="0" w:color="auto"/>
                            <w:bottom w:val="none" w:sz="0" w:space="0" w:color="auto"/>
                            <w:right w:val="none" w:sz="0" w:space="0" w:color="auto"/>
                          </w:divBdr>
                          <w:divsChild>
                            <w:div w:id="1367219422">
                              <w:marLeft w:val="2070"/>
                              <w:marRight w:val="3960"/>
                              <w:marTop w:val="0"/>
                              <w:marBottom w:val="0"/>
                              <w:divBdr>
                                <w:top w:val="none" w:sz="0" w:space="0" w:color="auto"/>
                                <w:left w:val="none" w:sz="0" w:space="0" w:color="auto"/>
                                <w:bottom w:val="none" w:sz="0" w:space="0" w:color="auto"/>
                                <w:right w:val="none" w:sz="0" w:space="0" w:color="auto"/>
                              </w:divBdr>
                              <w:divsChild>
                                <w:div w:id="794174065">
                                  <w:marLeft w:val="0"/>
                                  <w:marRight w:val="0"/>
                                  <w:marTop w:val="0"/>
                                  <w:marBottom w:val="0"/>
                                  <w:divBdr>
                                    <w:top w:val="none" w:sz="0" w:space="0" w:color="auto"/>
                                    <w:left w:val="none" w:sz="0" w:space="0" w:color="auto"/>
                                    <w:bottom w:val="none" w:sz="0" w:space="0" w:color="auto"/>
                                    <w:right w:val="none" w:sz="0" w:space="0" w:color="auto"/>
                                  </w:divBdr>
                                  <w:divsChild>
                                    <w:div w:id="892958593">
                                      <w:marLeft w:val="0"/>
                                      <w:marRight w:val="0"/>
                                      <w:marTop w:val="0"/>
                                      <w:marBottom w:val="0"/>
                                      <w:divBdr>
                                        <w:top w:val="none" w:sz="0" w:space="0" w:color="auto"/>
                                        <w:left w:val="none" w:sz="0" w:space="0" w:color="auto"/>
                                        <w:bottom w:val="none" w:sz="0" w:space="0" w:color="auto"/>
                                        <w:right w:val="none" w:sz="0" w:space="0" w:color="auto"/>
                                      </w:divBdr>
                                      <w:divsChild>
                                        <w:div w:id="2055537819">
                                          <w:marLeft w:val="0"/>
                                          <w:marRight w:val="0"/>
                                          <w:marTop w:val="0"/>
                                          <w:marBottom w:val="0"/>
                                          <w:divBdr>
                                            <w:top w:val="none" w:sz="0" w:space="0" w:color="auto"/>
                                            <w:left w:val="none" w:sz="0" w:space="0" w:color="auto"/>
                                            <w:bottom w:val="none" w:sz="0" w:space="0" w:color="auto"/>
                                            <w:right w:val="none" w:sz="0" w:space="0" w:color="auto"/>
                                          </w:divBdr>
                                          <w:divsChild>
                                            <w:div w:id="906500821">
                                              <w:marLeft w:val="0"/>
                                              <w:marRight w:val="0"/>
                                              <w:marTop w:val="90"/>
                                              <w:marBottom w:val="0"/>
                                              <w:divBdr>
                                                <w:top w:val="none" w:sz="0" w:space="0" w:color="auto"/>
                                                <w:left w:val="none" w:sz="0" w:space="0" w:color="auto"/>
                                                <w:bottom w:val="none" w:sz="0" w:space="0" w:color="auto"/>
                                                <w:right w:val="none" w:sz="0" w:space="0" w:color="auto"/>
                                              </w:divBdr>
                                              <w:divsChild>
                                                <w:div w:id="621837882">
                                                  <w:marLeft w:val="0"/>
                                                  <w:marRight w:val="0"/>
                                                  <w:marTop w:val="0"/>
                                                  <w:marBottom w:val="0"/>
                                                  <w:divBdr>
                                                    <w:top w:val="none" w:sz="0" w:space="0" w:color="auto"/>
                                                    <w:left w:val="none" w:sz="0" w:space="0" w:color="auto"/>
                                                    <w:bottom w:val="none" w:sz="0" w:space="0" w:color="auto"/>
                                                    <w:right w:val="none" w:sz="0" w:space="0" w:color="auto"/>
                                                  </w:divBdr>
                                                  <w:divsChild>
                                                    <w:div w:id="214856896">
                                                      <w:marLeft w:val="0"/>
                                                      <w:marRight w:val="0"/>
                                                      <w:marTop w:val="0"/>
                                                      <w:marBottom w:val="0"/>
                                                      <w:divBdr>
                                                        <w:top w:val="none" w:sz="0" w:space="0" w:color="auto"/>
                                                        <w:left w:val="none" w:sz="0" w:space="0" w:color="auto"/>
                                                        <w:bottom w:val="none" w:sz="0" w:space="0" w:color="auto"/>
                                                        <w:right w:val="none" w:sz="0" w:space="0" w:color="auto"/>
                                                      </w:divBdr>
                                                      <w:divsChild>
                                                        <w:div w:id="503132881">
                                                          <w:marLeft w:val="0"/>
                                                          <w:marRight w:val="0"/>
                                                          <w:marTop w:val="0"/>
                                                          <w:marBottom w:val="390"/>
                                                          <w:divBdr>
                                                            <w:top w:val="none" w:sz="0" w:space="0" w:color="auto"/>
                                                            <w:left w:val="none" w:sz="0" w:space="0" w:color="auto"/>
                                                            <w:bottom w:val="none" w:sz="0" w:space="0" w:color="auto"/>
                                                            <w:right w:val="none" w:sz="0" w:space="0" w:color="auto"/>
                                                          </w:divBdr>
                                                          <w:divsChild>
                                                            <w:div w:id="1455824895">
                                                              <w:marLeft w:val="0"/>
                                                              <w:marRight w:val="0"/>
                                                              <w:marTop w:val="0"/>
                                                              <w:marBottom w:val="0"/>
                                                              <w:divBdr>
                                                                <w:top w:val="none" w:sz="0" w:space="0" w:color="auto"/>
                                                                <w:left w:val="none" w:sz="0" w:space="0" w:color="auto"/>
                                                                <w:bottom w:val="none" w:sz="0" w:space="0" w:color="auto"/>
                                                                <w:right w:val="none" w:sz="0" w:space="0" w:color="auto"/>
                                                              </w:divBdr>
                                                              <w:divsChild>
                                                                <w:div w:id="342056935">
                                                                  <w:marLeft w:val="0"/>
                                                                  <w:marRight w:val="0"/>
                                                                  <w:marTop w:val="0"/>
                                                                  <w:marBottom w:val="0"/>
                                                                  <w:divBdr>
                                                                    <w:top w:val="none" w:sz="0" w:space="0" w:color="auto"/>
                                                                    <w:left w:val="none" w:sz="0" w:space="0" w:color="auto"/>
                                                                    <w:bottom w:val="none" w:sz="0" w:space="0" w:color="auto"/>
                                                                    <w:right w:val="none" w:sz="0" w:space="0" w:color="auto"/>
                                                                  </w:divBdr>
                                                                  <w:divsChild>
                                                                    <w:div w:id="1326664690">
                                                                      <w:marLeft w:val="0"/>
                                                                      <w:marRight w:val="0"/>
                                                                      <w:marTop w:val="0"/>
                                                                      <w:marBottom w:val="0"/>
                                                                      <w:divBdr>
                                                                        <w:top w:val="none" w:sz="0" w:space="0" w:color="auto"/>
                                                                        <w:left w:val="none" w:sz="0" w:space="0" w:color="auto"/>
                                                                        <w:bottom w:val="none" w:sz="0" w:space="0" w:color="auto"/>
                                                                        <w:right w:val="none" w:sz="0" w:space="0" w:color="auto"/>
                                                                      </w:divBdr>
                                                                      <w:divsChild>
                                                                        <w:div w:id="1025400320">
                                                                          <w:marLeft w:val="0"/>
                                                                          <w:marRight w:val="0"/>
                                                                          <w:marTop w:val="0"/>
                                                                          <w:marBottom w:val="0"/>
                                                                          <w:divBdr>
                                                                            <w:top w:val="none" w:sz="0" w:space="0" w:color="auto"/>
                                                                            <w:left w:val="none" w:sz="0" w:space="0" w:color="auto"/>
                                                                            <w:bottom w:val="none" w:sz="0" w:space="0" w:color="auto"/>
                                                                            <w:right w:val="none" w:sz="0" w:space="0" w:color="auto"/>
                                                                          </w:divBdr>
                                                                          <w:divsChild>
                                                                            <w:div w:id="491340489">
                                                                              <w:marLeft w:val="0"/>
                                                                              <w:marRight w:val="0"/>
                                                                              <w:marTop w:val="0"/>
                                                                              <w:marBottom w:val="0"/>
                                                                              <w:divBdr>
                                                                                <w:top w:val="none" w:sz="0" w:space="0" w:color="auto"/>
                                                                                <w:left w:val="none" w:sz="0" w:space="0" w:color="auto"/>
                                                                                <w:bottom w:val="none" w:sz="0" w:space="0" w:color="auto"/>
                                                                                <w:right w:val="none" w:sz="0" w:space="0" w:color="auto"/>
                                                                              </w:divBdr>
                                                                              <w:divsChild>
                                                                                <w:div w:id="882252906">
                                                                                  <w:marLeft w:val="0"/>
                                                                                  <w:marRight w:val="0"/>
                                                                                  <w:marTop w:val="0"/>
                                                                                  <w:marBottom w:val="0"/>
                                                                                  <w:divBdr>
                                                                                    <w:top w:val="none" w:sz="0" w:space="0" w:color="auto"/>
                                                                                    <w:left w:val="none" w:sz="0" w:space="0" w:color="auto"/>
                                                                                    <w:bottom w:val="none" w:sz="0" w:space="0" w:color="auto"/>
                                                                                    <w:right w:val="none" w:sz="0" w:space="0" w:color="auto"/>
                                                                                  </w:divBdr>
                                                                                  <w:divsChild>
                                                                                    <w:div w:id="605966723">
                                                                                      <w:marLeft w:val="0"/>
                                                                                      <w:marRight w:val="0"/>
                                                                                      <w:marTop w:val="0"/>
                                                                                      <w:marBottom w:val="0"/>
                                                                                      <w:divBdr>
                                                                                        <w:top w:val="none" w:sz="0" w:space="0" w:color="auto"/>
                                                                                        <w:left w:val="none" w:sz="0" w:space="0" w:color="auto"/>
                                                                                        <w:bottom w:val="none" w:sz="0" w:space="0" w:color="auto"/>
                                                                                        <w:right w:val="none" w:sz="0" w:space="0" w:color="auto"/>
                                                                                      </w:divBdr>
                                                                                      <w:divsChild>
                                                                                        <w:div w:id="2763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625079">
      <w:bodyDiv w:val="1"/>
      <w:marLeft w:val="0"/>
      <w:marRight w:val="0"/>
      <w:marTop w:val="0"/>
      <w:marBottom w:val="0"/>
      <w:divBdr>
        <w:top w:val="none" w:sz="0" w:space="0" w:color="auto"/>
        <w:left w:val="none" w:sz="0" w:space="0" w:color="auto"/>
        <w:bottom w:val="none" w:sz="0" w:space="0" w:color="auto"/>
        <w:right w:val="none" w:sz="0" w:space="0" w:color="auto"/>
      </w:divBdr>
    </w:div>
    <w:div w:id="1484086054">
      <w:bodyDiv w:val="1"/>
      <w:marLeft w:val="0"/>
      <w:marRight w:val="0"/>
      <w:marTop w:val="0"/>
      <w:marBottom w:val="0"/>
      <w:divBdr>
        <w:top w:val="none" w:sz="0" w:space="0" w:color="auto"/>
        <w:left w:val="none" w:sz="0" w:space="0" w:color="auto"/>
        <w:bottom w:val="none" w:sz="0" w:space="0" w:color="auto"/>
        <w:right w:val="none" w:sz="0" w:space="0" w:color="auto"/>
      </w:divBdr>
    </w:div>
    <w:div w:id="1644040297">
      <w:bodyDiv w:val="1"/>
      <w:marLeft w:val="0"/>
      <w:marRight w:val="0"/>
      <w:marTop w:val="0"/>
      <w:marBottom w:val="0"/>
      <w:divBdr>
        <w:top w:val="none" w:sz="0" w:space="0" w:color="auto"/>
        <w:left w:val="none" w:sz="0" w:space="0" w:color="auto"/>
        <w:bottom w:val="none" w:sz="0" w:space="0" w:color="auto"/>
        <w:right w:val="none" w:sz="0" w:space="0" w:color="auto"/>
      </w:divBdr>
    </w:div>
    <w:div w:id="1815902152">
      <w:bodyDiv w:val="1"/>
      <w:marLeft w:val="0"/>
      <w:marRight w:val="0"/>
      <w:marTop w:val="0"/>
      <w:marBottom w:val="0"/>
      <w:divBdr>
        <w:top w:val="none" w:sz="0" w:space="0" w:color="auto"/>
        <w:left w:val="none" w:sz="0" w:space="0" w:color="auto"/>
        <w:bottom w:val="none" w:sz="0" w:space="0" w:color="auto"/>
        <w:right w:val="none" w:sz="0" w:space="0" w:color="auto"/>
      </w:divBdr>
    </w:div>
    <w:div w:id="1921594638">
      <w:bodyDiv w:val="1"/>
      <w:marLeft w:val="0"/>
      <w:marRight w:val="0"/>
      <w:marTop w:val="0"/>
      <w:marBottom w:val="0"/>
      <w:divBdr>
        <w:top w:val="none" w:sz="0" w:space="0" w:color="auto"/>
        <w:left w:val="none" w:sz="0" w:space="0" w:color="auto"/>
        <w:bottom w:val="none" w:sz="0" w:space="0" w:color="auto"/>
        <w:right w:val="none" w:sz="0" w:space="0" w:color="auto"/>
      </w:divBdr>
    </w:div>
    <w:div w:id="21337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yla.cantos@educaci&#243;n.gob.ec" TargetMode="Externa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rcid.org/0000-0002-5517-395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ryan.morocho@educacion.gob.ec"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Red14</b:Tag>
    <b:SourceType>InternetSite</b:SourceType>
    <b:Guid>{132A4136-5003-4E39-A6FE-36D23B8D9C1B}</b:Guid>
    <b:Title>Redbooth</b:Title>
    <b:Year>2014</b:Year>
    <b:InternetSiteTitle>Redbooth - Online Project Management Tools &amp; Collaboration Platform</b:InternetSiteTitle>
    <b:URL>https://redbooth.com/</b:URL>
    <b:YearAccessed>2014</b:YearAccessed>
    <b:MonthAccessed>Octubre</b:MonthAccessed>
    <b:DayAccessed>8</b:DayAccessed>
    <b:Author>
      <b:Author>
        <b:NameList>
          <b:Person>
            <b:Last>Redbooth</b:Last>
          </b:Person>
        </b:NameList>
      </b:Author>
    </b:Author>
    <b:RefOrder>1</b:RefOrder>
  </b:Source>
  <b:Source>
    <b:Tag>Red141</b:Tag>
    <b:SourceType>InternetSite</b:SourceType>
    <b:Guid>{93E68BFC-762F-4592-8322-6383CA1EA039}</b:Guid>
    <b:Author>
      <b:Author>
        <b:NameList>
          <b:Person>
            <b:Last>Redmine</b:Last>
          </b:Person>
        </b:NameList>
      </b:Author>
    </b:Author>
    <b:Title>Redmine</b:Title>
    <b:InternetSiteTitle>Redmine</b:InternetSiteTitle>
    <b:Year>2014</b:Year>
    <b:URL>http://www.redmine.org/</b:URL>
    <b:YearAccessed>2014</b:YearAccessed>
    <b:MonthAccessed>Octubre</b:MonthAccessed>
    <b:DayAccessed>10</b:DayAccessed>
    <b:RefOrder>4</b:RefOrder>
  </b:Source>
  <b:Source>
    <b:Tag>Rep12</b:Tag>
    <b:SourceType>DocumentFromInternetSite</b:SourceType>
    <b:Guid>{88E55F1B-327A-4200-891A-E7B4BEF73379}</b:Guid>
    <b:Title>Repositorio Software Público</b:Title>
    <b:InternetSiteTitle>Repositorio Software Público - Gobierno de Chile</b:InternetSiteTitle>
    <b:Year>2012</b:Year>
    <b:URL>http://www.softwarepublico.cl/sites/default/files/plataforma_redmine_funcionalidades-v1.0_1.pdf</b:URL>
    <b:Author>
      <b:Author>
        <b:Corporate>Emergya</b:Corporate>
      </b:Author>
    </b:Author>
    <b:YearAccessed>2014</b:YearAccessed>
    <b:MonthAccessed>Octubre</b:MonthAccessed>
    <b:DayAccessed>10</b:DayAccessed>
    <b:RefOrder>5</b:RefOrder>
  </b:Source>
  <b:Source>
    <b:Tag>Ope14</b:Tag>
    <b:SourceType>InternetSite</b:SourceType>
    <b:Guid>{DD38AF1F-F265-488C-AD41-BAD99C33DDD4}</b:Guid>
    <b:Author>
      <b:Author>
        <b:NameList>
          <b:Person>
            <b:Last>Atrium</b:Last>
            <b:First>Open</b:First>
          </b:Person>
        </b:NameList>
      </b:Author>
    </b:Author>
    <b:Title>Open Atrium</b:Title>
    <b:InternetSiteTitle>Open Atrium</b:InternetSiteTitle>
    <b:Year>2014</b:Year>
    <b:URL>http://openatrium.com/#!/</b:URL>
    <b:YearAccessed>2014</b:YearAccessed>
    <b:MonthAccessed>Octubre</b:MonthAccessed>
    <b:DayAccessed>10</b:DayAccessed>
    <b:RefOrder>6</b:RefOrder>
  </b:Source>
  <b:Source>
    <b:Tag>ISO14</b:Tag>
    <b:SourceType>InternetSite</b:SourceType>
    <b:Guid>{B402F93A-5F23-4998-8D90-8C4C7B028182}</b:Guid>
    <b:Title>ISO 9126</b:Title>
    <b:InternetSiteTitle>International Organization for Standardization</b:InternetSiteTitle>
    <b:Year>2014</b:Year>
    <b:URL>http://www.iso.org/iso/home/store/catalogue_tc/catalogue_detail.htm?csnumber=22750</b:URL>
    <b:Author>
      <b:Author>
        <b:NameList>
          <b:Person>
            <b:Last>ISO</b:Last>
          </b:Person>
        </b:NameList>
      </b:Author>
    </b:Author>
    <b:YearAccessed>2014</b:YearAccessed>
    <b:MonthAccessed>Octubre</b:MonthAccessed>
    <b:DayAccessed>10</b:DayAccessed>
    <b:RefOrder>9</b:RefOrder>
  </b:Source>
  <b:Source>
    <b:Tag>Mes14</b:Tag>
    <b:SourceType>DocumentFromInternetSite</b:SourceType>
    <b:Guid>{DFADCB47-7475-45D0-BAF2-F570DD54E9B5}</b:Guid>
    <b:Author>
      <b:Author>
        <b:NameList>
          <b:Person>
            <b:Last>Mesquida</b:Last>
            <b:First>Antonia</b:First>
            <b:Middle>Darder</b:Middle>
          </b:Person>
          <b:Person>
            <b:Last>García</b:Last>
            <b:First>Adolfina</b:First>
            <b:Middle>Perez</b:Middle>
          </b:Person>
        </b:NameList>
      </b:Author>
      <b:ProducerName>
        <b:NameList>
          <b:Person>
            <b:Last>Balears</b:Last>
            <b:First>Universitat</b:First>
            <b:Middle>des les Illes</b:Middle>
          </b:Person>
        </b:NameList>
      </b:ProducerName>
    </b:Author>
    <b:Title>Grupo de Tenología Educativa</b:Title>
    <b:InternetSiteTitle>Grupo de Tenología Educativa</b:InternetSiteTitle>
    <b:URL>http://gte.uib.es/pape/gte/sites/gte.uib.es.pape.gte/files/tutoriaproyectos.pdf</b:URL>
    <b:YearAccessed>2014</b:YearAccessed>
    <b:MonthAccessed>Agosto</b:MonthAccessed>
    <b:DayAccessed>14</b:DayAccessed>
    <b:Year>2014</b:Year>
    <b:Month>Agosto</b:Month>
    <b:RefOrder>7</b:RefOrder>
  </b:Source>
  <b:Source>
    <b:Tag>Mar14</b:Tag>
    <b:SourceType>InternetSite</b:SourceType>
    <b:Guid>{47EDB2B6-F759-4854-A58D-911611BEE1ED}</b:Guid>
    <b:Author>
      <b:Author>
        <b:Corporate>Marketing y Productividad</b:Corporate>
      </b:Author>
    </b:Author>
    <b:Title>Redbooth</b:Title>
    <b:InternetSiteTitle>Marketing y Productividad</b:InternetSiteTitle>
    <b:Year>2014</b:Year>
    <b:Month>08</b:Month>
    <b:Day>03</b:Day>
    <b:URL>http://www.marketingyproductividad.com/2014/02/redbooth-herramienta-colaborativa-de-tareas/</b:URL>
    <b:RefOrder>8</b:RefOrder>
  </b:Source>
  <b:Source>
    <b:Tag>Wes16</b:Tag>
    <b:SourceType>InternetSite</b:SourceType>
    <b:Guid>{A0BFBCB7-9065-4987-B698-18756242F5AD}</b:Guid>
    <b:Title>Redbooth Review</b:Title>
    <b:Year>2016 </b:Year>
    <b:Author>
      <b:Author>
        <b:NameList>
          <b:Person>
            <b:Last>Kriz</b:Last>
            <b:First>Wesley</b:First>
          </b:Person>
        </b:NameList>
      </b:Author>
    </b:Author>
    <b:Month>Enero</b:Month>
    <b:Day>13</b:Day>
    <b:URL> Recuperado: https://www.merchantmaverick.com/reviews/redbooth-review/</b:URL>
    <b:RefOrder>2</b:RefOrder>
  </b:Source>
  <b:Source>
    <b:Tag>Rec</b:Tag>
    <b:SourceType>InternetSite</b:SourceType>
    <b:Guid>{D650C11C-A900-4CB3-A86E-67B6023E5994}</b:Guid>
    <b:URL>Recuperado: http://empresayeconomia.republica.com/aplicaciones-para-empresas/activecollab-trabajo-en-grupo-para-proyectos.html</b:URL>
    <b:Author>
      <b:Author>
        <b:NameList>
          <b:Person>
            <b:Last>Leo</b:Last>
            <b:First>Junior</b:First>
          </b:Person>
        </b:NameList>
      </b:Author>
    </b:Author>
    <b:Title>Empresa y economía</b:Title>
    <b:RefOrder>3</b:RefOrder>
  </b:Source>
  <b:Source>
    <b:Tag>Car</b:Tag>
    <b:SourceType>Book</b:SourceType>
    <b:Guid>{D949017E-23C6-47AF-80EC-AA6B0275348C}</b:Guid>
    <b:Title>Primer Aeropuerto Ecológico del Mundo</b:Title>
    <b:City>Guayaquil</b:City>
    <b:Author>
      <b:Author>
        <b:NameList>
          <b:Person>
            <b:Last>Macias</b:Last>
            <b:First>Carla</b:First>
          </b:Person>
        </b:NameList>
      </b:Author>
    </b:Author>
    <b:Pages>17</b:Pages>
    <b:ThesisType>resumen</b:ThesisType>
    <b:Year>2012</b:Year>
    <b:URL>https://es.linkedin.com/pulse/el-primer-aeropuerto-ecologico-del-mundo-se-encuentra-carla-macias</b:URL>
    <b:StateProvince>guayas</b:StateProvince>
    <b:CountryRegion>Ecuador</b:CountryRegion>
    <b:RefOrder>1</b:RefOrder>
  </b:Source>
  <b:Source>
    <b:Tag>Amb15</b:Tag>
    <b:SourceType>Book</b:SourceType>
    <b:Guid>{5FB0B977-8018-490C-8027-F74BB3228DBD}</b:Guid>
    <b:Author>
      <b:Author>
        <b:NameList>
          <b:Person>
            <b:Last>MAE</b:Last>
          </b:Person>
        </b:NameList>
      </b:Author>
    </b:Author>
    <b:Title>Ministerio del Medio Ambiente</b:Title>
    <b:Year>2015</b:Year>
    <b:City>Quito</b:City>
    <b:StateProvince>Pichincha</b:StateProvince>
    <b:CountryRegion>Ecuador</b:CountryRegion>
    <b:URL>http://www.ambiente.gob.ec/wp-content/uploads/downloads/2012/09/LEY-DE-PREVENCION-Y-CONTROL-DE-LA-CONTAMINACION-AMBIENTAL.pdf</b:URL>
    <b:RefOrder>2</b:RefOrder>
  </b:Source>
  <b:Source>
    <b:Tag>ECO17</b:Tag>
    <b:SourceType>JournalArticle</b:SourceType>
    <b:Guid>{29231554-9ED6-40FC-B964-EF40E6E2AC2F}</b:Guid>
    <b:Author>
      <b:Author>
        <b:Corporate>ECOGAL S.A</b:Corporate>
      </b:Author>
      <b:Editor>
        <b:NameList>
          <b:Person>
            <b:Last>Vélez</b:Last>
            <b:First>Luis</b:First>
          </b:Person>
        </b:NameList>
      </b:Editor>
    </b:Author>
    <b:Title>Aeropuerto Ecologico del Mundo</b:Title>
    <b:Year>2017</b:Year>
    <b:City>Guayas</b:City>
    <b:ShortTitle>Aeropuertos</b:ShortTitle>
    <b:Pages>3</b:Pages>
    <b:YearAccessed>2018</b:YearAccessed>
    <b:MonthAccessed>Marzo</b:MonthAccessed>
    <b:DayAccessed>21</b:DayAccessed>
    <b:URL>https://www.aeromundomagazine.com/aeropuerto-ecologico-de-galapagos-el-nuevo-encanto-de-las-islas/</b:URL>
    <b:Month>Junio</b:Month>
    <b:Day>7</b:Day>
    <b:LCID>es-EC</b:LCID>
    <b:JournalName>AeroMundo Magazine</b:JournalName>
    <b:RefOrder>3</b:RefOrder>
  </b:Source>
  <b:Source>
    <b:Tag>MEG16</b:Tag>
    <b:SourceType>JournalArticle</b:SourceType>
    <b:Guid>{A354AAF1-53B2-4A25-8861-137D9E8F1900}</b:Guid>
    <b:Year>2016</b:Year>
    <b:Author>
      <b:Author>
        <b:Corporate>MUNDO CONSTRUCTOR</b:Corporate>
      </b:Author>
    </b:Author>
    <b:Month>Septiembre</b:Month>
    <b:Day>06</b:Day>
    <b:Title>Baltra: un aeropuerto responsable con el archipiélago</b:Title>
    <b:URL>http://www.mundoconstructor.com.ec/index.php/construccion/comercial/689-baltra-un-aeropuerto-responsable-con-el-archipi%C3%A9lago</b:URL>
    <b:RefOrder>4</b:RefOrder>
  </b:Source>
  <b:Source>
    <b:Tag>Cer12</b:Tag>
    <b:SourceType>Book</b:SourceType>
    <b:Guid>{06822D15-A504-4359-9B00-60939452F8B4}</b:Guid>
    <b:Author>
      <b:Author>
        <b:NameList>
          <b:Person>
            <b:Last>Certificaciones</b:Last>
          </b:Person>
        </b:NameList>
      </b:Author>
    </b:Author>
    <b:Title>premios obtenidos del primer aeropuerto ecologico del mundo</b:Title>
    <b:Year>2012</b:Year>
    <b:City>Baltra</b:City>
    <b:StateProvince>Galápagos </b:StateProvince>
    <b:CountryRegion>Ecuador</b:CountryRegion>
    <b:URL>http://www.ecogal.aero/certificaciones-y-premios</b:URL>
    <b:RefOrder>5</b:RefOrder>
  </b:Source>
  <b:Source>
    <b:Tag>Har12</b:Tag>
    <b:SourceType>Book</b:SourceType>
    <b:Guid>{7126A49A-637E-46C7-B362-3FD53C35ABB6}</b:Guid>
    <b:Title>Descripcion de la rediseñacion de las salas VIP del Aeropuerto Seymour de Galápagos</b:Title>
    <b:Year>2012</b:Year>
    <b:City>Baltra</b:City>
    <b:StateProvince>Islas Galápagos</b:StateProvince>
    <b:CountryRegion>Ecuador Continental </b:CountryRegion>
    <b:Pages>3</b:Pages>
    <b:Comments>la Arq. Vanessa Alvarez nos colaboró con la informacion para adjuntarlo al artículo </b:Comments>
    <b:YearAccessed>2017</b:YearAccessed>
    <b:MonthAccessed>Enero</b:MonthAccessed>
    <b:DayAccessed>17</b:DayAccessed>
    <b:Author>
      <b:Author>
        <b:Corporate>Arq. Vanessa Alvarez Del Pozo de Haro</b:Corporate>
      </b:Author>
    </b:Author>
    <b:RefOrder>6</b:RefOrder>
  </b:Source>
  <b:Source>
    <b:Tag>Rob06</b:Tag>
    <b:SourceType>BookSection</b:SourceType>
    <b:Guid>{7864C660-C249-42CA-9339-0E73E5100179}</b:Guid>
    <b:Author>
      <b:Author>
        <b:NameList>
          <b:Person>
            <b:Last>Boullón</b:Last>
            <b:First>Roberto</b:First>
          </b:Person>
        </b:NameList>
      </b:Author>
      <b:BookAuthor>
        <b:NameList>
          <b:Person>
            <b:Last>Boullón</b:Last>
            <b:First>Roberto</b:First>
          </b:Person>
        </b:NameList>
      </b:BookAuthor>
    </b:Author>
    <b:Title>planta turística</b:Title>
    <b:Year>2006</b:Year>
    <b:Publisher>Trillas</b:Publisher>
    <b:City>México</b:City>
    <b:BookTitle>Planificación del espacio turístico</b:BookTitle>
    <b:Pages>41</b:Pages>
    <b:RefOrder>1</b:RefOrder>
  </b:Source>
  <b:Source>
    <b:Tag>Gil02</b:Tag>
    <b:SourceType>Report</b:SourceType>
    <b:Guid>{0CBE6215-2F64-4AAA-B89C-BF802175BBE3}</b:Guid>
    <b:Title>TIC para las organizaciones del siglo xxi</b:Title>
    <b:Year>2002</b:Year>
    <b:City>España</b:City>
    <b:Author>
      <b:Author>
        <b:Corporate>Gil, Juana Sancho</b:Corporate>
      </b:Author>
    </b:Author>
    <b:RefOrder>2</b:RefOrder>
  </b:Source>
  <b:Source>
    <b:Tag>Dav99</b:Tag>
    <b:SourceType>JournalArticle</b:SourceType>
    <b:Guid>{9C2B644C-E778-4CF1-9B5D-67D5B304F462}</b:Guid>
    <b:Title>TICS en la industria del turismo</b:Title>
    <b:Year>1999</b:Year>
    <b:Author>
      <b:Author>
        <b:Corporate>David Martín Valles</b:Corporate>
      </b:Author>
    </b:Author>
    <b:JournalName>Gestiópolis</b:JournalName>
    <b:Pages>3</b:Pages>
    <b:RefOrder>3</b:RefOrder>
  </b:Source>
  <b:Source>
    <b:Tag>Nau05</b:Tag>
    <b:SourceType>JournalArticle</b:SourceType>
    <b:Guid>{1F95CA7A-B0AD-4971-B50C-5ABD1027CFC6}</b:Guid>
    <b:Title>Turismo fluvial</b:Title>
    <b:Year>2005</b:Year>
    <b:Pages>2</b:Pages>
    <b:Author>
      <b:Author>
        <b:Corporate>Nautical News Today </b:Corporate>
      </b:Author>
    </b:Author>
    <b:JournalName>Nautical News Today</b:JournalName>
    <b:RefOrder>4</b:RefOrder>
  </b:Source>
  <b:Source>
    <b:Tag>Goo18</b:Tag>
    <b:SourceType>InternetSite</b:SourceType>
    <b:Guid>{A2BBC575-C123-4C24-BCBF-2F2B4ED470ED}</b:Guid>
    <b:Title>Google Formularios</b:Title>
    <b:Year>2018</b:Year>
    <b:Month>enero</b:Month>
    <b:URL>https://docs.google.com/forms/d/e/1FAIpQLSfZwaRnuCq1_pHzXzZae2yhNWKPCWLOhn8qauufWLFLG6ATLQ/viewform#responses</b:URL>
    <b:RefOrder>5</b:RefOrder>
  </b:Source>
  <b:Source>
    <b:Tag>kbj65</b:Tag>
    <b:SourceType>BookSection</b:SourceType>
    <b:Guid>{60911B63-1E61-4F88-AE19-0C7B546C19A7}</b:Guid>
    <b:Title>sajkbxja</b:Title>
    <b:Year>656565</b:Year>
    <b:Author>
      <b:Author>
        <b:NameList>
          <b:Person>
            <b:Last>kbjkasnad</b:Last>
          </b:Person>
        </b:NameList>
      </b:Author>
      <b:BookAuthor>
        <b:NameList>
          <b:Person>
            <b:Last>opo</b:Last>
          </b:Person>
        </b:NameList>
      </b:BookAuthor>
    </b:Author>
    <b:BookTitle>lana</b:BookTitle>
    <b:RefOrder>6</b:RefOrder>
  </b:Source>
  <b:Source xmlns:b="http://schemas.openxmlformats.org/officeDocument/2006/bibliography">
    <b:Tag>Org981</b:Tag>
    <b:SourceType>Report</b:SourceType>
    <b:Guid>{620CEEC7-B00F-4BC0-A3C2-FCEEFD948AB9}</b:Guid>
    <b:Author>
      <b:Author>
        <b:NameList>
          <b:Person>
            <b:Last>Turismo</b:Last>
            <b:First>Organización</b:First>
            <b:Middle>Mundial del</b:Middle>
          </b:Person>
        </b:NameList>
      </b:Author>
    </b:Author>
    <b:Title>Organización Mundial del Turismo</b:Title>
    <b:Year>1998</b:Year>
    <b:City>USA</b:City>
    <b:RefOrder>7</b:RefOrder>
  </b:Source>
  <b:Source>
    <b:Tag>Com98</b:Tag>
    <b:SourceType>Report</b:SourceType>
    <b:Guid>{4E2EBE74-C6C0-421D-985D-D36391DEB853}</b:Guid>
    <b:Title>Áreas verdes</b:Title>
    <b:Year>1998</b:Year>
    <b:Author>
      <b:Author>
        <b:Corporate>Comisión Nacional de Medio Ambiente</b:Corporate>
      </b:Author>
    </b:Author>
    <b:Publisher>Arboleda</b:Publisher>
    <b:City>Chile</b:City>
    <b:RefOrder>8</b:RefOrder>
  </b:Source>
  <b:Source>
    <b:Tag>Cla99</b:Tag>
    <b:SourceType>Book</b:SourceType>
    <b:Guid>{9FD920FB-609B-4E4B-A4D0-252CC5EEAFF1}</b:Guid>
    <b:Author>
      <b:Author>
        <b:Corporate>Claudio Magliona Markovicth &amp; Macarena López Medel</b:Corporate>
      </b:Author>
    </b:Author>
    <b:Title>Delincuencia y Fraude Informático</b:Title>
    <b:Year>1999</b:Year>
    <b:City>Santiago de Chile</b:City>
    <b:Publisher>Jurídica de Chile</b:Publisher>
    <b:RefOrder>1</b:RefOrder>
  </b:Source>
  <b:Source>
    <b:Tag>Lui87</b:Tag>
    <b:SourceType>Book</b:SourceType>
    <b:Guid>{C7CBD75F-4182-49E2-904E-B73301329FE6}</b:Guid>
    <b:Author>
      <b:Author>
        <b:Corporate>Luis Camacho Losa</b:Corporate>
      </b:Author>
    </b:Author>
    <b:Title>El Delito Informático</b:Title>
    <b:Year>1987</b:Year>
    <b:City>Madrid</b:City>
    <b:Publisher>L. Camacho</b:Publisher>
    <b:RefOrder>2</b:RefOrder>
  </b:Source>
  <b:Source>
    <b:Tag>Ace10</b:Tag>
    <b:SourceType>Book</b:SourceType>
    <b:Guid>{4F9DD958-B28B-4D82-B25C-C8CBC42CCBAA}</b:Guid>
    <b:Title>Tecnología e Informática</b:Title>
    <b:Year>2010</b:Year>
    <b:Author>
      <b:Author>
        <b:Corporate>Acevedo Esparza</b:Corporate>
      </b:Author>
    </b:Author>
    <b:City>Ecuador</b:City>
    <b:Publisher>Colegio Técnico Industrial José Elias Puyana</b:Publisher>
    <b:RefOrder>3</b:RefOrder>
  </b:Source>
  <b:Source>
    <b:Tag>Jos14</b:Tag>
    <b:SourceType>InternetSite</b:SourceType>
    <b:Guid>{190AE8C0-1CFD-4148-B15C-EE8A6DDACA4B}</b:Guid>
    <b:Title>Informática Jurídica</b:Title>
    <b:Year>2014</b:Year>
    <b:Author>
      <b:Author>
        <b:Corporate>José Cuervo Alvarez</b:Corporate>
      </b:Author>
    </b:Author>
    <b:InternetSiteTitle>Delitos informáticos: Protección Penal de la Intimidad</b:InternetSiteTitle>
    <b:Month>01</b:Month>
    <b:Day>01</b:Day>
    <b:URL>http://www.informatica-juridica.com/trabajos/delitos-informaticos-proteccion-penal-de-la-intimidad/</b:URL>
    <b:RefOrder>4</b:RefOrder>
  </b:Source>
  <b:Source>
    <b:Tag>Jul08</b:Tag>
    <b:SourceType>Book</b:SourceType>
    <b:Guid>{A2561301-F466-4273-9F52-AC06BF768832}</b:Guid>
    <b:Author>
      <b:Author>
        <b:Corporate>Julio Téllez Valdés</b:Corporate>
      </b:Author>
    </b:Author>
    <b:Title>Derecho informático</b:Title>
    <b:Year>2008</b:Year>
    <b:City>México</b:City>
    <b:Publisher>McGraw-Hill</b:Publisher>
    <b:RefOrder>5</b:RefOrder>
  </b:Source>
  <b:Source>
    <b:Tag>Fer</b:Tag>
    <b:SourceType>Book</b:SourceType>
    <b:Guid>{066985B6-D596-4831-974C-D77DF4255597}</b:Guid>
    <b:Author>
      <b:Author>
        <b:Corporate>Fernando Miró Llinares</b:Corporate>
      </b:Author>
    </b:Author>
    <b:Title>El cibercrimen</b:Title>
    <b:Year>2012</b:Year>
    <b:City>Madrid</b:City>
    <b:Publisher>Marcus Felson</b:Publisher>
    <b:RefOrder>6</b:RefOrder>
  </b:Source>
  <b:Source>
    <b:Tag>Ala05</b:Tag>
    <b:SourceType>Book</b:SourceType>
    <b:Guid>{FF1AA794-6BC2-4B40-A398-DB8398F1D1EC}</b:Guid>
    <b:Author>
      <b:Author>
        <b:Corporate>Alain Ambrosi, Valérie Peugeot &amp; Daniel Pimienta</b:Corporate>
      </b:Author>
    </b:Author>
    <b:Title>Enfoques Multiculturales sobre las Sociedades de la Información</b:Title>
    <b:Year>2005 </b:Year>
    <b:City> Francia</b:City>
    <b:Publisher>C&amp;F</b:Publisher>
    <b:RefOrder>7</b:RefOrder>
  </b:Source>
  <b:Source>
    <b:Tag>Ric05</b:Tag>
    <b:SourceType>InternetSite</b:SourceType>
    <b:Guid>{4150362A-3B71-445D-92B1-9A4918A83DC3}</b:Guid>
    <b:Title>DerechoEcuador</b:Title>
    <b:Year>2005</b:Year>
    <b:Author>
      <b:Author>
        <b:Corporate>Ricardo Levene &amp; Ricardo Levene</b:Corporate>
      </b:Author>
    </b:Author>
    <b:InternetSiteTitle>Delitos Informáticos</b:InternetSiteTitle>
    <b:Month>11</b:Month>
    <b:Day>24</b:Day>
    <b:URL>https://www.derechoecuador.com/delitos-informaticos</b:URL>
    <b:RefOrder>8</b:RefOrder>
  </b:Source>
  <b:Source>
    <b:Tag>Dan08</b:Tag>
    <b:SourceType>Book</b:SourceType>
    <b:Guid>{EC23D5CA-0074-4EBA-AC70-CEA6AB17D3EA}</b:Guid>
    <b:Author>
      <b:Author>
        <b:Corporate>Daniel Behar Rivero</b:Corporate>
      </b:Author>
    </b:Author>
    <b:Title>Metodología de la Investigación</b:Title>
    <b:Year>2008</b:Year>
    <b:City>Argentina</b:City>
    <b:Publisher>Shalom</b:Publisher>
    <b:RefOrder>9</b:RefOrder>
  </b:Source>
  <b:Source>
    <b:Tag>Rob10</b:Tag>
    <b:SourceType>Book</b:SourceType>
    <b:Guid>{475DE6B4-5D62-448D-8B79-D260E230E25F}</b:Guid>
    <b:Author>
      <b:Author>
        <b:Corporate>Roberto Hernández Sampieri, Carlos Fernández Collado &amp; María del Pilar Baptista Lucio</b:Corporate>
      </b:Author>
    </b:Author>
    <b:Title>METODOLOGÍA de la investigación</b:Title>
    <b:Year>2010</b:Year>
    <b:City>México</b:City>
    <b:Publisher>McGraw-Hill</b:Publisher>
    <b:RefOrder>10</b:RefOrder>
  </b:Source>
  <b:Source>
    <b:Tag>FGE15</b:Tag>
    <b:SourceType>DocumentFromInternetSite</b:SourceType>
    <b:Guid>{5C99694E-0ADC-413D-BE73-E07A0AA8DB9E}</b:Guid>
    <b:Author>
      <b:Author>
        <b:Corporate>FGE</b:Corporate>
      </b:Author>
    </b:Author>
    <b:Title>Fiscalía General del Estado Ecuador</b:Title>
    <b:InternetSiteTitle>Los delitos informáticos van desde el fraude hasta el espionaje</b:InternetSiteTitle>
    <b:Year>2015</b:Year>
    <b:Month>06</b:Month>
    <b:Day>13</b:Day>
    <b:URL>https://www.fiscalia.gob.ec/los-delitos-informaticos-van-desde-el-fraude-hasta-el-espionaje/</b:URL>
    <b:RefOrder>11</b:RefOrder>
  </b:Source>
  <b:Source>
    <b:Tag>Car15</b:Tag>
    <b:SourceType>JournalArticle</b:SourceType>
    <b:Guid>{8492C809-FE06-4144-B000-907B1AB42B57}</b:Guid>
    <b:Title>LA SEGURIDAD JURÍDICA FRENTE A LOS DELITOS INFORMÁTICOS</b:Title>
    <b:Year>2015</b:Year>
    <b:Author>
      <b:Author>
        <b:Corporate>Carlos Alcívar Trejo, Gustavo Domenech Alvarez &amp; Karla Ortìz Chimbo</b:Corporate>
      </b:Author>
    </b:Author>
    <b:JournalName>Revista de Investigación Jurídica</b:JournalName>
    <b:Pages>48 - 55</b:Pages>
    <b:RefOrder>12</b:RefOrder>
  </b:Source>
  <b:Source>
    <b:Tag>Min08</b:Tag>
    <b:SourceType>InternetSite</b:SourceType>
    <b:Guid>{88DFE93B-33D2-4A75-ADB7-FC65E3CA4B84}</b:Guid>
    <b:Title>InfoLEG</b:Title>
    <b:Year>2008</b:Year>
    <b:Author>
      <b:Author>
        <b:Corporate>Ministerio de Justicia y Derechos Humanos Presidencia de la Nación</b:Corporate>
      </b:Author>
    </b:Author>
    <b:InternetSiteTitle>CODIGO PENAL</b:InternetSiteTitle>
    <b:Month>06</b:Month>
    <b:Day>04</b:Day>
    <b:URL>http://servicios.infoleg.gob.ar/infolegInternet/anexos/140000-144999/141790/norma.htm</b:URL>
    <b:RefOrder>13</b:RefOrder>
  </b:Source>
  <b:Source>
    <b:Tag>MPF14</b:Tag>
    <b:SourceType>DocumentFromInternetSite</b:SourceType>
    <b:Guid>{86327F3E-C2EB-421D-A086-5ACF2A44D484}</b:Guid>
    <b:Author>
      <b:Author>
        <b:Corporate>MPF</b:Corporate>
      </b:Author>
    </b:Author>
    <b:Title>Ministerio Publico Fiscal de la Ciudad Autonoma de Buenos Aires</b:Title>
    <b:InternetSiteTitle>Delitos informaticos</b:InternetSiteTitle>
    <b:Year>2014</b:Year>
    <b:Month>02</b:Month>
    <b:URL>http://delitosinformaticos.fiscalias.gob.ar/wp-content/uploads/2014/02/CyberCrime-Informe-</b:URL>
    <b:RefOrder>14</b:RefOrder>
  </b:Source>
  <b:Source>
    <b:Tag>Alc09</b:Tag>
    <b:SourceType>InternetSite</b:SourceType>
    <b:Guid>{E7E8BF8C-F14C-4729-B2F2-AB62D348F7A4}</b:Guid>
    <b:Title>Régimen Legal De Bogotá D.C</b:Title>
    <b:InternetSiteTitle>Ley 1273 de 2009 Nivel Nacional</b:InternetSiteTitle>
    <b:Year>2009</b:Year>
    <b:Month>01</b:Month>
    <b:Day>05</b:Day>
    <b:URL>http://www.alcaldiabogota.gov.co/sisjur/normas/Norma1.jsp?i=34492</b:URL>
    <b:Author>
      <b:Author>
        <b:Corporate>Alcaldía Mayor de Bogotá</b:Corporate>
      </b:Author>
    </b:Author>
    <b:RefOrder>15</b:RefOrder>
  </b:Source>
  <b:Source>
    <b:Tag>Asa14</b:Tag>
    <b:SourceType>InternetSite</b:SourceType>
    <b:Guid>{82FAB40E-7946-4A88-831C-9A5D2EAC1CE9}</b:Guid>
    <b:Author>
      <b:Author>
        <b:Corporate>Asamblea Nacional</b:Corporate>
      </b:Author>
    </b:Author>
    <b:Title>LA ASAMBLEA NACIONAL DE LA REPÚBLICA BOLIVARIANA DE VENEZUELA</b:Title>
    <b:InternetSiteTitle>Ley Especial Contra los Delitos Informáticos</b:InternetSiteTitle>
    <b:Year>2014</b:Year>
    <b:Month>09</b:Month>
    <b:Day>02</b:Day>
    <b:URL>http://web.archive.org/web/20140902120028/http://www.tsj.gov.ve/legislacion/ledi.htm</b:URL>
    <b:RefOrder>16</b:RefOrder>
  </b:Source>
  <b:Source>
    <b:Tag>Min93</b:Tag>
    <b:SourceType>InternetSite</b:SourceType>
    <b:Guid>{CE04BCD4-1880-4FDF-AD22-18F04F54BBEA}</b:Guid>
    <b:Author>
      <b:Author>
        <b:Corporate>Ministerio de Justicia</b:Corporate>
      </b:Author>
    </b:Author>
    <b:Title>Biblioteca del Congreso Nacional de Chile / BCN</b:Title>
    <b:InternetSiteTitle>Delitos Informáticos; Sistemas de Información; Ley no. 19.223</b:InternetSiteTitle>
    <b:Year>1993</b:Year>
    <b:Month>06</b:Month>
    <b:Day>07</b:Day>
    <b:URL>https://www.leychile.cl/Navegar?idNorma=30590</b:URL>
    <b:RefOrder>17</b:RefOrder>
  </b:Source>
  <b:Source>
    <b:Tag>Fra15</b:Tag>
    <b:SourceType>JournalArticle</b:SourceType>
    <b:Guid>{DA6B2965-2CFC-42E1-BE3D-92E821D655DE}</b:Guid>
    <b:Title>Estudio cualitativo de la relación de las leyes y la pericia informática en el Ecuador</b:Title>
    <b:Year>2015</b:Year>
    <b:Author>
      <b:Author>
        <b:Corporate>Francisco Bolaños Burgos &amp; Cristopher Gómez Giacoman</b:Corporate>
      </b:Author>
    </b:Author>
    <b:JournalName>Recibe</b:JournalName>
    <b:Pages>26-27</b:Pages>
    <b:RefOrder>18</b:RefOrder>
  </b:Source>
  <b:Source>
    <b:Tag>Con08</b:Tag>
    <b:SourceType>Book</b:SourceType>
    <b:Guid>{6DC6FD8C-54AD-400F-B65A-17B59CAE5771}</b:Guid>
    <b:Title>Sección septima, Salud</b:Title>
    <b:Year>2008</b:Year>
    <b:Pages>17</b:Pages>
    <b:City>Quito</b:City>
    <b:Publisher>Ediciones legales</b:Publisher>
    <b:Author>
      <b:Author>
        <b:Corporate>Constitución de la República del Ecuador</b:Corporate>
      </b:Author>
    </b:Author>
    <b:RefOrder>2</b:RefOrder>
  </b:Source>
  <b:Source>
    <b:Tag>Org18</b:Tag>
    <b:SourceType>InternetSite</b:SourceType>
    <b:Guid>{BF0383FC-1766-457E-92BA-4ECB0CDD9EE0}</b:Guid>
    <b:Title>¿Cómo define la OMS la salud?</b:Title>
    <b:Year>2018</b:Year>
    <b:InternetSiteTitle>¿Cómo define la OMS la salud?</b:InternetSiteTitle>
    <b:Month>07</b:Month>
    <b:Day>24</b:Day>
    <b:URL>http://www.who.int/suggestions/faq/es/</b:URL>
    <b:Author>
      <b:Author>
        <b:Corporate>Organización Mundial de la Salud</b:Corporate>
      </b:Author>
    </b:Author>
    <b:RefOrder>1</b:RefOrder>
  </b:Source>
  <b:Source>
    <b:Tag>Min12</b:Tag>
    <b:SourceType>Report</b:SourceType>
    <b:Guid>{8900E83F-6EF0-4B2E-8F38-B3324D5BD282}</b:Guid>
    <b:Title>Modelo de Atención integral de Salud</b:Title>
    <b:Year>2012</b:Year>
    <b:Author>
      <b:Author>
        <b:Corporate>Ministerio de Salud Pública - MAIS</b:Corporate>
      </b:Author>
    </b:Author>
    <b:Publisher>Ministerio de Salud Pública</b:Publisher>
    <b:City>Quito</b:City>
    <b:RefOrder>3</b:RefOrder>
  </b:Source>
  <b:Source>
    <b:Tag>Pat13</b:Tag>
    <b:SourceType>JournalArticle</b:SourceType>
    <b:Guid>{7EA0ABAA-8939-48D2-86C9-D9354DB22ED8}</b:Guid>
    <b:Title>Efecto del burnout y la sobrecarga en la calidad de vida en el trabajo</b:Title>
    <b:Year>2013</b:Year>
    <b:Pages>445-455</b:Pages>
    <b:Author>
      <b:Author>
        <b:NameList>
          <b:Person>
            <b:Last>Patlán</b:Last>
            <b:First>Juana</b:First>
          </b:Person>
        </b:NameList>
      </b:Author>
    </b:Author>
    <b:JournalName>Estudios Gerenciales</b:JournalName>
    <b:Volume>29</b:Volume>
    <b:Issue>129</b:Issue>
    <b:RefOrder>4</b:RefOrder>
  </b:Source>
  <b:Source>
    <b:Tag>Dom11</b:Tag>
    <b:SourceType>JournalArticle</b:SourceType>
    <b:Guid>{B7AAD7CE-951E-4690-8B30-CF8CA96FE06F}</b:Guid>
    <b:Title>Síndrome de desgaste profesional en trabajadores de atención a la salud en el área sanitaria de Ceuta</b:Title>
    <b:JournalName>Atención Primaria</b:JournalName>
    <b:Year>2011</b:Year>
    <b:Pages>30-35</b:Pages>
    <b:Author>
      <b:Author>
        <b:NameList>
          <b:Person>
            <b:Last>Domínguez</b:Last>
            <b:First>Julián</b:First>
          </b:Person>
          <b:Person>
            <b:Last>Herrera</b:Last>
            <b:First>Francisco</b:First>
          </b:Person>
          <b:Person>
            <b:Last>Villaverde</b:Last>
            <b:First>María</b:First>
            <b:Middle>del Carmen</b:Middle>
          </b:Person>
          <b:Person>
            <b:Last>Padilla</b:Last>
            <b:First>Inés</b:First>
          </b:Person>
          <b:Person>
            <b:Last>Martínez</b:Last>
            <b:First>María</b:First>
          </b:Person>
          <b:Person>
            <b:Last>Domínguez</b:Last>
            <b:First>Javier</b:First>
          </b:Person>
        </b:NameList>
      </b:Author>
    </b:Author>
    <b:Volume>44</b:Volume>
    <b:Issue>1</b:Issue>
    <b:DOI>http//:doi:10.1016/j.aprim.2011.01.004</b:DOI>
    <b:RefOrder>8</b:RefOrder>
  </b:Source>
  <b:Source>
    <b:Tag>Rui12</b:Tag>
    <b:SourceType>Book</b:SourceType>
    <b:Guid>{1337BF4B-0A17-4E78-BDB9-6EA7C4D6521E}</b:Guid>
    <b:Title>Recursos humanos y responsabilidad social corporativa</b:Title>
    <b:Year>2012</b:Year>
    <b:City>Madrid</b:City>
    <b:Publisher>McGraw-Hill</b:Publisher>
    <b:Author>
      <b:Author>
        <b:NameList>
          <b:Person>
            <b:Last>Ruiz</b:Last>
            <b:First>Eugenio</b:First>
          </b:Person>
          <b:Person>
            <b:Last>Gago</b:Last>
            <b:First>María</b:First>
          </b:Person>
          <b:Person>
            <b:Last>García</b:Last>
            <b:First>Carmen</b:First>
          </b:Person>
          <b:Person>
            <b:Last>López</b:Last>
            <b:First>Soledad</b:First>
          </b:Person>
        </b:NameList>
      </b:Author>
    </b:Author>
    <b:Edition>1a</b:Edition>
    <b:RefOrder>9</b:RefOrder>
  </b:Source>
  <b:Source>
    <b:Tag>Alv18</b:Tag>
    <b:SourceType>JournalArticle</b:SourceType>
    <b:Guid>{232947F3-572B-448D-B93D-05B3F1E26365}</b:Guid>
    <b:Author>
      <b:Author>
        <b:NameList>
          <b:Person>
            <b:Last>Alvarez-Silva</b:Last>
            <b:First>Luis</b:First>
          </b:Person>
          <b:Person>
            <b:Last>Estrella-Marín</b:Last>
            <b:First>Barbarita</b:First>
          </b:Person>
          <b:Person>
            <b:Last>Rosas-Baldeón</b:Last>
            <b:First>Margarita</b:First>
          </b:Person>
        </b:NameList>
      </b:Author>
    </b:Author>
    <b:Title>Rol del Psicólogo Organizacional en la gestión de Talento</b:Title>
    <b:JournalName>PODIUM</b:JournalName>
    <b:Year>2018</b:Year>
    <b:Pages>79-90</b:Pages>
    <b:Volume>1</b:Volume>
    <b:Issue>33</b:Issue>
    <b:DOI>http://dx.doi.org/10.31095/podium.201</b:DOI>
    <b:RefOrder>10</b:RefOrder>
  </b:Source>
  <b:Source>
    <b:Tag>Día16</b:Tag>
    <b:SourceType>JournalArticle</b:SourceType>
    <b:Guid>{D9C871CA-8AD0-47A0-8686-9DB9B1B93F27}</b:Guid>
    <b:Title>La investigación sobre el síndrome de burnout en latinoamérica entre 2000 y el 2010</b:Title>
    <b:JournalName>Psicología desde el Caribe</b:JournalName>
    <b:Year>2016</b:Year>
    <b:Pages>113-131</b:Pages>
    <b:Author>
      <b:Author>
        <b:NameList>
          <b:Person>
            <b:Last>Díaz</b:Last>
            <b:First>Fátima</b:First>
          </b:Person>
          <b:Person>
            <b:Last>Gómez</b:Last>
            <b:First>Ingrid</b:First>
          </b:Person>
        </b:NameList>
      </b:Author>
    </b:Author>
    <b:Publisher>1</b:Publisher>
    <b:Volume>33</b:Volume>
    <b:RefOrder>12</b:RefOrder>
  </b:Source>
  <b:Source>
    <b:Tag>Góm17</b:Tag>
    <b:SourceType>JournalArticle</b:SourceType>
    <b:Guid>{C00D6E49-C5B3-4561-9147-41110C9AFF9B}</b:Guid>
    <b:Title>Factores de riesgo y niveles de burnout en enfermeras de atención primaria: una revisión sistemática</b:Title>
    <b:JournalName>Atención Primaria</b:JournalName>
    <b:Year>2017</b:Year>
    <b:Pages>77-85</b:Pages>
    <b:Author>
      <b:Author>
        <b:NameList>
          <b:Person>
            <b:Last>Gómez-Urquiza</b:Last>
            <b:First>Jose</b:First>
          </b:Person>
          <b:Person>
            <b:Last>Monsalve-Reyesb</b:Last>
            <b:First>Carolina</b:First>
          </b:Person>
          <b:Person>
            <b:Last>San Luis-Costas</b:Last>
            <b:First>Concepción</b:First>
          </b:Person>
          <b:Person>
            <b:Last>Fernández-Castillo</b:Last>
            <b:First>Rafael</b:First>
          </b:Person>
          <b:Person>
            <b:Last>Aguayo-Estremera</b:Last>
            <b:First>Raimundo</b:First>
          </b:Person>
          <b:Person>
            <b:Last>Cañadas-de la Fuente</b:Last>
            <b:First>Guillermo</b:First>
          </b:Person>
        </b:NameList>
      </b:Author>
    </b:Author>
    <b:Volume>49</b:Volume>
    <b:Issue>2</b:Issue>
    <b:DOI>https://doi.org/10.1016/j.aprim.2016.05.004</b:DOI>
    <b:RefOrder>16</b:RefOrder>
  </b:Source>
  <b:Source>
    <b:Tag>Org08</b:Tag>
    <b:SourceType>Report</b:SourceType>
    <b:Guid>{F25C5017-E4E2-4C2B-BC5F-52F8E4DB0081}</b:Guid>
    <b:Title>Marco conceptual de los Objetivos de desarrollo del Milenio desde una perspectiva de los pueblos indígenas</b:Title>
    <b:Year>2008</b:Year>
    <b:Publisher>Nuevo Arte</b:Publisher>
    <b:City>Washington, DC 20037</b:City>
    <b:Author>
      <b:Author>
        <b:Corporate>Organización Panamericana de la Salud - OPS</b:Corporate>
      </b:Author>
    </b:Author>
    <b:RefOrder>17</b:RefOrder>
  </b:Source>
  <b:Source>
    <b:Tag>Rob101</b:Tag>
    <b:SourceType>Book</b:SourceType>
    <b:Guid>{3C6D0F28-D2A0-4705-8AB1-895AE735781C}</b:Guid>
    <b:Title>Metodología de la Investigación</b:Title>
    <b:Year>2014</b:Year>
    <b:City>México</b:City>
    <b:Publisher>McGraw-Hill</b:Publisher>
    <b:Author>
      <b:Author>
        <b:NameList>
          <b:Person>
            <b:Last>Hernández Sampieri</b:Last>
            <b:First>Roberto</b:First>
          </b:Person>
          <b:Person>
            <b:Last>Fernández</b:Last>
            <b:First>Carlos</b:First>
          </b:Person>
          <b:Person>
            <b:Last>Baptista</b:Last>
            <b:First>María</b:First>
          </b:Person>
        </b:NameList>
      </b:Author>
    </b:Author>
    <b:Volume>6</b:Volume>
    <b:RefOrder>18</b:RefOrder>
  </b:Source>
  <b:Source>
    <b:Tag>OIT161</b:Tag>
    <b:SourceType>Report</b:SourceType>
    <b:Guid>{443426F5-A6C8-4654-A022-3E18E9F3D5FF}</b:Guid>
    <b:Author>
      <b:Author>
        <b:Corporate>Organización Internacional del Trabajo - OIT</b:Corporate>
      </b:Author>
    </b:Author>
    <b:Title>Estrés en el trabajo: un reto colectivo</b:Title>
    <b:JournalName>Publicaciones de la OIT </b:JournalName>
    <b:Year>2016</b:Year>
    <b:City>Ginebra</b:City>
    <b:Publisher>Publicaciones de la OIT</b:Publisher>
    <b:RefOrder>11</b:RefOrder>
  </b:Source>
  <b:Source>
    <b:Tag>Ped</b:Tag>
    <b:SourceType>JournalArticle</b:SourceType>
    <b:Guid>{821CC5A0-B492-40BA-A30C-705ABFE6B494}</b:Guid>
    <b:Title>Síndrome de burnout en deportistas universitarios mexicanos</b:Title>
    <b:JournalName>Revista de Psicología del Deporte</b:JournalName>
    <b:Author>
      <b:Author>
        <b:NameList>
          <b:Person>
            <b:Last>Reynaga-Estrada</b:Last>
            <b:First>Pedro</b:First>
          </b:Person>
          <b:Person>
            <b:Last>Mena</b:Last>
            <b:First>Diana</b:First>
          </b:Person>
          <b:Person>
            <b:Last>Valadez</b:Last>
            <b:First>Alexandra</b:First>
          </b:Person>
          <b:Person>
            <b:Last>Rodríguez</b:Last>
            <b:First>Adolfo</b:First>
          </b:Person>
          <b:Person>
            <b:Last>González</b:Last>
            <b:First>Juan</b:First>
          </b:Person>
        </b:NameList>
      </b:Author>
    </b:Author>
    <b:Year>2017</b:Year>
    <b:Pages>209-214</b:Pages>
    <b:Volume>26</b:Volume>
    <b:Issue>2</b:Issue>
    <b:RefOrder>20</b:RefOrder>
  </b:Source>
  <b:Source>
    <b:Tag>Vás14</b:Tag>
    <b:SourceType>JournalArticle</b:SourceType>
    <b:Guid>{CCB39A13-1F88-424A-BE4C-EBB07B28A9BD}</b:Guid>
    <b:Author>
      <b:Author>
        <b:NameList>
          <b:Person>
            <b:Last>Vásquez-Manrique</b:Last>
            <b:First>Jim</b:First>
          </b:Person>
          <b:Person>
            <b:Last>Maruy-Saito</b:Last>
            <b:First>Aldo</b:First>
          </b:Person>
          <b:Person>
            <b:Last>Verne-Martin</b:Last>
            <b:First>Eduardo</b:First>
          </b:Person>
        </b:NameList>
      </b:Author>
    </b:Author>
    <b:Title>Frecuencia del síndrome de Burnout y niveles de sus dimensiones en el personal de salud del servicio de emergencia del pediatría del Hospital Nacional Cayetano Heredia en el año 2014. Lima, Perú.</b:Title>
    <b:JournalName>Revista de Neuro-Psiquiatría</b:JournalName>
    <b:Year>2014</b:Year>
    <b:Pages>168-174</b:Pages>
    <b:Volume>77</b:Volume>
    <b:Issue>3</b:Issue>
    <b:RefOrder>21</b:RefOrder>
  </b:Source>
  <b:Source>
    <b:Tag>Sán141</b:Tag>
    <b:SourceType>JournalArticle</b:SourceType>
    <b:Guid>{51B54E54-14F6-416E-A7C6-F35F50A6E815}</b:Guid>
    <b:Title>Síndrome de Burnout en el personal de enfermería en UVI</b:Title>
    <b:JournalName>Enfermería Global</b:JournalName>
    <b:Year>2014</b:Year>
    <b:Pages>252-266</b:Pages>
    <b:Author>
      <b:Author>
        <b:NameList>
          <b:Person>
            <b:Last>Sánchez</b:Last>
            <b:First>Patricia</b:First>
          </b:Person>
          <b:Person>
            <b:Last>Sierra</b:Last>
            <b:First>Víctor</b:First>
          </b:Person>
        </b:NameList>
      </b:Author>
    </b:Author>
    <b:Volume>13</b:Volume>
    <b:Issue>1</b:Issue>
    <b:RefOrder>22</b:RefOrder>
  </b:Source>
  <b:Source>
    <b:Tag>Mun14</b:Tag>
    <b:SourceType>JournalArticle</b:SourceType>
    <b:Guid>{DACDC9B3-952F-4422-8158-9BA89FE7BB88}</b:Guid>
    <b:Title>Síndrome de burnout en internos de medicina: un problema urgente</b:Title>
    <b:JournalName>Acta Médica Peruana</b:JournalName>
    <b:Year>2014</b:Year>
    <b:Pages>249</b:Pages>
    <b:Author>
      <b:Author>
        <b:NameList>
          <b:Person>
            <b:Last>Munayco-Guillén</b:Last>
            <b:First>Fernando</b:First>
          </b:Person>
          <b:Person>
            <b:Last>Cámara-Reyes</b:Last>
            <b:First>Anaís</b:First>
          </b:Person>
          <b:Person>
            <b:Last>Torres-Romucho</b:Last>
            <b:First>Camilo</b:First>
          </b:Person>
        </b:NameList>
      </b:Author>
    </b:Author>
    <b:Volume>31</b:Volume>
    <b:Issue>4</b:Issue>
    <b:RefOrder>7</b:RefOrder>
  </b:Source>
  <b:Source>
    <b:Tag>Tei16</b:Tag>
    <b:SourceType>JournalArticle</b:SourceType>
    <b:Guid>{8BBBD042-F167-4742-A28D-DF5D93D9395A}</b:Guid>
    <b:Title>Estrés laboral y estrategias de afrontamiento entre los profesionales de enfermería hospitalaria</b:Title>
    <b:JournalName>Enfermería Global</b:JournalName>
    <b:Year>2016</b:Year>
    <b:Pages>288-298</b:Pages>
    <b:Author>
      <b:Author>
        <b:NameList>
          <b:Person>
            <b:Last>Teixeira</b:Last>
            <b:First>CAB</b:First>
          </b:Person>
          <b:Person>
            <b:Last>Gherardi-Donato</b:Last>
            <b:First>EC</b:First>
            <b:Middle>da S</b:Middle>
          </b:Person>
          <b:Person>
            <b:Last>Pereira</b:Last>
            <b:First>SS</b:First>
          </b:Person>
          <b:Person>
            <b:Last>Cardoso</b:Last>
            <b:First>L.</b:First>
          </b:Person>
          <b:Person>
            <b:Last>Reisdorfer</b:Last>
            <b:First>E</b:First>
          </b:Person>
        </b:NameList>
      </b:Author>
    </b:Author>
    <b:Volume>15</b:Volume>
    <b:Issue>4</b:Issue>
    <b:RefOrder>13</b:RefOrder>
  </b:Source>
  <b:Source>
    <b:Tag>Veg17</b:Tag>
    <b:SourceType>JournalArticle</b:SourceType>
    <b:Guid>{1DEF30EB-CC50-48DD-A66C-D75F8CD6F908}</b:Guid>
    <b:Title>Relación entre apoyo en duelo y el síndrome de Burnout en profesionales y técnicos de la salud infantil</b:Title>
    <b:JournalName>Revista chilena de Pediatría</b:JournalName>
    <b:Year>2017</b:Year>
    <b:Pages>614-621</b:Pages>
    <b:Author>
      <b:Author>
        <b:NameList>
          <b:Person>
            <b:Last>Vega</b:Last>
            <b:First>Paula</b:First>
          </b:Person>
          <b:Person>
            <b:Last>González</b:Last>
            <b:First>Rina</b:First>
          </b:Person>
          <b:Person>
            <b:Last>Bustos</b:Last>
            <b:First>José</b:First>
          </b:Person>
          <b:Person>
            <b:Last>Rojo</b:Last>
            <b:First>Leticia</b:First>
          </b:Person>
          <b:Person>
            <b:Last>López</b:Last>
            <b:First>María</b:First>
          </b:Person>
          <b:Person>
            <b:Last>Rosas</b:Last>
            <b:First>Amaia</b:First>
          </b:Person>
          <b:Person>
            <b:Last>Hasbún</b:Last>
            <b:First>Carmen</b:First>
          </b:Person>
        </b:NameList>
      </b:Author>
    </b:Author>
    <b:DOI>http://doi:10.4067/S0370-41062017000500007</b:DOI>
    <b:RefOrder>27</b:RefOrder>
  </b:Source>
  <b:Source>
    <b:Tag>Bed171</b:Tag>
    <b:SourceType>JournalArticle</b:SourceType>
    <b:Guid>{41D115C9-1D91-439B-93D4-2052AB07EE8F}</b:Guid>
    <b:Title>Síndrome de Quemado (Burnout) en Docentes Universitarios: El Caso de un Centro de Estudios del Caribe Colombiano</b:Title>
    <b:JournalName>Formación Universitaria</b:JournalName>
    <b:Year>2017</b:Year>
    <b:Pages>51-58</b:Pages>
    <b:Author>
      <b:Author>
        <b:NameList>
          <b:Person>
            <b:Last>Bedoya</b:Last>
            <b:First>Elías</b:First>
          </b:Person>
          <b:Person>
            <b:Last>Vega</b:Last>
            <b:First>Nancy</b:First>
          </b:Person>
          <b:Person>
            <b:Last>Severiche</b:Last>
            <b:First>Carlos</b:First>
          </b:Person>
          <b:Person>
            <b:Last>Meza</b:Last>
            <b:First>María</b:First>
          </b:Person>
        </b:NameList>
      </b:Author>
    </b:Author>
    <b:Volume>10</b:Volume>
    <b:Issue>6</b:Issue>
    <b:DOI>http://dx.doi.org/10.4067/S0718-50062017000600006</b:DOI>
    <b:RefOrder>14</b:RefOrder>
  </b:Source>
  <b:Source>
    <b:Tag>Los18</b:Tag>
    <b:SourceType>JournalArticle</b:SourceType>
    <b:Guid>{99391C6F-963F-4F53-A0CF-F1D1E498B371}</b:Guid>
    <b:Title>Prevalencia de Síndrome de Burnout en un Centro de Cirugía Académico-Asistencial Público en Chile</b:Title>
    <b:JournalName>Revista Chilena de Cirugía</b:JournalName>
    <b:Year>2018</b:Year>
    <b:Pages>117-126</b:Pages>
    <b:Author>
      <b:Author>
        <b:NameList>
          <b:Person>
            <b:Last>Losada</b:Last>
            <b:First>Héctor</b:First>
          </b:Person>
          <b:Person>
            <b:Last>Curitol</b:Last>
            <b:First>Sonia</b:First>
          </b:Person>
          <b:Person>
            <b:Last>Astudillo</b:Last>
            <b:First>Paula</b:First>
          </b:Person>
          <b:Person>
            <b:Last>Schneeberger</b:Last>
            <b:First>Pilar</b:First>
          </b:Person>
          <b:Person>
            <b:Last>Coronado</b:Last>
            <b:First>Felipe</b:First>
          </b:Person>
        </b:NameList>
      </b:Author>
    </b:Author>
    <b:Volume>70</b:Volume>
    <b:Issue>2</b:Issue>
    <b:RefOrder>25</b:RefOrder>
  </b:Source>
  <b:Source>
    <b:Tag>Ser18</b:Tag>
    <b:SourceType>JournalArticle</b:SourceType>
    <b:Guid>{75F7A95E-3C0A-4C54-859D-6ACF473B51BE}</b:Guid>
    <b:Title>Competencias emocionales y síndrome de burnout en el profesorado de Educación Infantil</b:Title>
    <b:JournalName>Revista de Psicología y Educación</b:JournalName>
    <b:Year>2018</b:Year>
    <b:Pages>1-12</b:Pages>
    <b:Author>
      <b:Author>
        <b:NameList>
          <b:Person>
            <b:Last>Serrano-Díaz</b:Last>
            <b:First>Noemí</b:First>
          </b:Person>
          <b:Person>
            <b:Last>Pocinho</b:Last>
            <b:First>Margarida</b:First>
          </b:Person>
          <b:Person>
            <b:Last>Aragón-Mendizábal</b:Last>
            <b:First>Estíbaliz</b:First>
          </b:Person>
        </b:NameList>
      </b:Author>
    </b:Author>
    <b:Volume>13</b:Volume>
    <b:Issue>1</b:Issue>
    <b:DOI>http://dx.doi.org/10.23923/rpye2018.01.153</b:DOI>
    <b:RefOrder>26</b:RefOrder>
  </b:Source>
  <b:Source>
    <b:Tag>Mor01</b:Tag>
    <b:SourceType>JournalArticle</b:SourceType>
    <b:Guid>{C110309F-5DFA-4477-9A87-69944FB5F113}</b:Guid>
    <b:Title>La evaluacion del Burnout profesional Factorialización del MBI-GS. Un análisis preliminar.</b:Title>
    <b:JournalName>Ansiedad y Estrés</b:JournalName>
    <b:Year>2001</b:Year>
    <b:Pages>68-79</b:Pages>
    <b:Author>
      <b:Author>
        <b:NameList>
          <b:Person>
            <b:Last>Moreno-Jiménez</b:Last>
            <b:First>Bernardo</b:First>
          </b:Person>
          <b:Person>
            <b:Last>Rodríguez-Carvajal</b:Last>
            <b:First>Raquel</b:First>
          </b:Person>
          <b:Person>
            <b:Last>Escobar</b:Last>
            <b:First>Eva</b:First>
          </b:Person>
        </b:NameList>
      </b:Author>
    </b:Author>
    <b:Volume>7</b:Volume>
    <b:Issue>1</b:Issue>
    <b:RefOrder>19</b:RefOrder>
  </b:Source>
  <b:Source>
    <b:Tag>Alb16</b:Tag>
    <b:SourceType>JournalArticle</b:SourceType>
    <b:Guid>{B6DBC3C0-D45B-4F6D-8F3E-E3E7E54E5471}</b:Guid>
    <b:Title>Prevalencia bayesiana y niveles de burnout en enfermería de urgencias. Una revisión sistemática</b:Title>
    <b:JournalName>Revista Latinoamericana de Psicología</b:JournalName>
    <b:Year>2016</b:Year>
    <b:Pages>137-145</b:Pages>
    <b:Author>
      <b:Author>
        <b:NameList>
          <b:Person>
            <b:Last>Albendín</b:Last>
            <b:First>Luis</b:First>
          </b:Person>
          <b:Person>
            <b:Last>Gómez</b:Last>
            <b:First>José,</b:First>
            <b:Middle>Canadas-de la Fuente, Guillermo</b:Middle>
          </b:Person>
          <b:Person>
            <b:Last>Cañadas</b:Last>
            <b:First>Guillermo</b:First>
          </b:Person>
          <b:Person>
            <b:Last>San Luis</b:Last>
            <b:First>Concepción</b:First>
          </b:Person>
          <b:Person>
            <b:Last>Aguayo</b:Last>
            <b:First>Raimundo</b:First>
          </b:Person>
        </b:NameList>
      </b:Author>
    </b:Author>
    <b:Volume>48</b:Volume>
    <b:Issue>2</b:Issue>
    <b:DOI>http://dx.doi.org/10.1016/j.rlp.2015.05.004</b:DOI>
    <b:RefOrder>6</b:RefOrder>
  </b:Source>
  <b:Source>
    <b:Tag>Bed17</b:Tag>
    <b:SourceType>JournalArticle</b:SourceType>
    <b:Guid>{F82DCE70-7E82-458D-B6E2-4596F0EFD03E}</b:Guid>
    <b:Title>Prevalencia del síndrome de burnout en trabajadores de un hospital público colombiano</b:Title>
    <b:JournalName>MEDISAN</b:JournalName>
    <b:Year>2017</b:Year>
    <b:Pages>3172-3179</b:Pages>
    <b:Author>
      <b:Author>
        <b:NameList>
          <b:Person>
            <b:Last>Bedoya</b:Last>
            <b:First>Elías</b:First>
          </b:Person>
        </b:NameList>
      </b:Author>
    </b:Author>
    <b:Volume>21</b:Volume>
    <b:Issue>11</b:Issue>
    <b:RefOrder>15</b:RefOrder>
  </b:Source>
  <b:Source>
    <b:Tag>Dom17</b:Tag>
    <b:SourceType>JournalArticle</b:SourceType>
    <b:Guid>{810167EE-0F44-4135-9129-1BFBA936695E}</b:Guid>
    <b:Title>Síndrome de burnout en aspirantes a la carrera de medicina</b:Title>
    <b:JournalName>Investigación en Educación Médica</b:JournalName>
    <b:Year>2017</b:Year>
    <b:Pages>242-247</b:Pages>
    <b:Author>
      <b:Author>
        <b:NameList>
          <b:Person>
            <b:Last>Domínguez-González</b:Last>
            <b:First>Alejandro</b:First>
          </b:Person>
          <b:Person>
            <b:Last>Velasco-Jiménez</b:Last>
            <b:First>María</b:First>
          </b:Person>
          <b:Person>
            <b:Last>Meneses-Ruiz</b:Last>
            <b:First>Dulce</b:First>
          </b:Person>
          <b:Person>
            <b:Last>Valdivia-Gómez</b:Last>
            <b:First>Gilberto</b:First>
          </b:Person>
          <b:Person>
            <b:Last>Castro-Martínez</b:Last>
            <b:First>María</b:First>
          </b:Person>
        </b:NameList>
      </b:Author>
    </b:Author>
    <b:Volume>6</b:Volume>
    <b:Issue>24</b:Issue>
    <b:DOI>http://dx.doi.org/10.1016/j.riem.2016.11.007</b:DOI>
    <b:RefOrder>5</b:RefOrder>
  </b:Source>
  <b:Source>
    <b:Tag>Ros14</b:Tag>
    <b:SourceType>JournalArticle</b:SourceType>
    <b:Guid>{4EE81465-22A2-4580-92D5-8F88259B77C6}</b:Guid>
    <b:Author>
      <b:Author>
        <b:NameList>
          <b:Person>
            <b:Last>Rosales</b:Last>
            <b:First>Yury</b:First>
          </b:Person>
          <b:Person>
            <b:Last>Rosales</b:Last>
            <b:First>Fredy</b:First>
          </b:Person>
        </b:NameList>
      </b:Author>
    </b:Author>
    <b:Title>Hacia un estudio bidimensional del Síndrome de Burnout</b:Title>
    <b:JournalName>Ciência &amp; Saúde Coletiva</b:JournalName>
    <b:Year>2014</b:Year>
    <b:Pages>4767-4775</b:Pages>
    <b:Volume>19</b:Volume>
    <b:Issue>12</b:Issue>
    <b:RefOrder>28</b:RefOrder>
  </b:Source>
  <b:Source>
    <b:Tag>DeF15</b:Tag>
    <b:SourceType>JournalArticle</b:SourceType>
    <b:Guid>{C00DEE7B-C952-4F1B-A8E3-9FB969A57A9A}</b:Guid>
    <b:Author>
      <b:Author>
        <b:NameList>
          <b:Person>
            <b:Last>De Francisco</b:Last>
            <b:First>Cristina</b:First>
          </b:Person>
          <b:Person>
            <b:Last>Garcés de Los Fayos</b:Last>
            <b:First>Enrique</b:First>
            <b:Middle>J</b:Middle>
          </b:Person>
          <b:Person>
            <b:Last>Arce</b:Last>
            <b:First>Constantino</b:First>
          </b:Person>
        </b:NameList>
      </b:Author>
    </b:Author>
    <b:Title>La medida del sindrome de Burnout en deportistas: una perspectiva multidimensional</b:Title>
    <b:JournalName>Revista Iberoamericana de Psicología del Ejercicio y el Deporte</b:JournalName>
    <b:Year>2015</b:Year>
    <b:Pages>173-178</b:Pages>
    <b:Volume>10</b:Volume>
    <b:Issue>2</b:Issue>
    <b:RefOrder>29</b:RefOrder>
  </b:Source>
  <b:Source>
    <b:Tag>Loa13</b:Tag>
    <b:SourceType>JournalArticle</b:SourceType>
    <b:Guid>{E61F6BDB-F537-440E-9DA3-D83B36839572}</b:Guid>
    <b:Title>Niveles de estrés y síndrome de Burnout en contadores públicos colombianos</b:Title>
    <b:JournalName>Actualidad Contable Faces</b:JournalName>
    <b:Year>2013</b:Year>
    <b:Pages>27-44</b:Pages>
    <b:Author>
      <b:Author>
        <b:NameList>
          <b:Person>
            <b:Last>Loaiza</b:Last>
            <b:First>Edilgardo</b:First>
          </b:Person>
          <b:Person>
            <b:Last>Peña</b:Last>
            <b:First>Aura</b:First>
          </b:Person>
        </b:NameList>
      </b:Author>
    </b:Author>
    <b:Volume>16</b:Volume>
    <b:Issue>26</b:Issue>
    <b:RefOrder>30</b:RefOrder>
  </b:Source>
  <b:Source>
    <b:Tag>Art14</b:Tag>
    <b:SourceType>Report</b:SourceType>
    <b:Guid>{FB6B8C0C-A473-4EF3-BFC8-F29CCF1A9367}</b:Guid>
    <b:Title>Síndrome de burnout en el personal de áreas con atención directa a clientes externos en una institución educativa</b:Title>
    <b:Year>2014</b:Year>
    <b:Publisher>Universidad Espíritu Santo</b:Publisher>
    <b:City>Samborondón</b:City>
    <b:Author>
      <b:Author>
        <b:NameList>
          <b:Person>
            <b:Last>Arteaga</b:Last>
            <b:First>Dora</b:First>
          </b:Person>
          <b:Person>
            <b:Last>Espinoza</b:Last>
            <b:First>César</b:First>
          </b:Person>
        </b:NameList>
      </b:Author>
    </b:Author>
    <b:RefOrder>23</b:RefOrder>
  </b:Source>
  <b:Source>
    <b:Tag>Bog16</b:Tag>
    <b:SourceType>JournalArticle</b:SourceType>
    <b:Guid>{AA1D7DE9-2C26-4C5D-820F-AF770BE0917B}</b:Guid>
    <b:Title>El Síndrome de Burnout en Educación Superior</b:Title>
    <b:Year>2016</b:Year>
    <b:Pages>230-241</b:Pages>
    <b:Author>
      <b:Author>
        <b:NameList>
          <b:Person>
            <b:Last>Bogarín</b:Last>
            <b:First>María</b:First>
          </b:Person>
          <b:Person>
            <b:Last>Valle</b:Last>
            <b:First>Rocio</b:First>
          </b:Person>
          <b:Person>
            <b:Last>Suárez</b:Last>
            <b:First>Marina</b:First>
          </b:Person>
          <b:Person>
            <b:Last>López</b:Last>
            <b:First>María</b:First>
          </b:Person>
        </b:NameList>
      </b:Author>
    </b:Author>
    <b:Volume>12</b:Volume>
    <b:Issue>13</b:Issue>
    <b:RefOrder>24</b:RefOrder>
  </b:Source>
</b:Sources>
</file>

<file path=customXml/itemProps1.xml><?xml version="1.0" encoding="utf-8"?>
<ds:datastoreItem xmlns:ds="http://schemas.openxmlformats.org/officeDocument/2006/customXml" ds:itemID="{0DB7CD3D-BCC7-AB48-9364-B772E331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5549</Words>
  <Characters>30520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ALINA RODRIGUEZ MORALES</cp:lastModifiedBy>
  <cp:revision>12</cp:revision>
  <cp:lastPrinted>2023-01-18T02:11:00Z</cp:lastPrinted>
  <dcterms:created xsi:type="dcterms:W3CDTF">2022-12-07T17:57:00Z</dcterms:created>
  <dcterms:modified xsi:type="dcterms:W3CDTF">2023-01-19T13:31:00Z</dcterms:modified>
</cp:coreProperties>
</file>